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16" w:lineRule="exact"/>
        <w:rPr>
          <w:sz w:val="24"/>
          <w:szCs w:val="24"/>
          <w:color w:val="auto"/>
        </w:rPr>
      </w:pPr>
    </w:p>
    <w:p>
      <w:pPr>
        <w:spacing w:after="0"/>
        <w:rPr>
          <w:rFonts w:ascii="Arial" w:cs="Arial" w:eastAsia="Arial" w:hAnsi="Arial"/>
          <w:sz w:val="20"/>
          <w:szCs w:val="20"/>
          <w:u w:val="single" w:color="auto"/>
          <w:color w:val="0000EE"/>
        </w:rPr>
      </w:pPr>
      <w:hyperlink w:anchor="page13">
        <w:r>
          <w:rPr>
            <w:rFonts w:ascii="Arial" w:cs="Arial" w:eastAsia="Arial" w:hAnsi="Arial"/>
            <w:sz w:val="20"/>
            <w:szCs w:val="20"/>
            <w:u w:val="single" w:color="auto"/>
            <w:color w:val="0000EE"/>
          </w:rPr>
          <w:t>TABLE OF CONTENTS</w:t>
        </w:r>
      </w:hyperlink>
    </w:p>
    <w:p>
      <w:pPr>
        <w:spacing w:after="0" w:line="206" w:lineRule="exact"/>
        <w:rPr>
          <w:sz w:val="24"/>
          <w:szCs w:val="24"/>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88"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SCHEDULE 14A</w:t>
      </w:r>
    </w:p>
    <w:p>
      <w:pPr>
        <w:spacing w:after="0" w:line="26"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(Rule 14a-101)</w:t>
      </w:r>
    </w:p>
    <w:p>
      <w:pPr>
        <w:spacing w:after="0" w:line="6"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74" w:lineRule="exact"/>
        <w:rPr>
          <w:sz w:val="24"/>
          <w:szCs w:val="24"/>
          <w:color w:val="auto"/>
        </w:rPr>
      </w:pPr>
    </w:p>
    <w:p>
      <w:pPr>
        <w:ind w:left="4020"/>
        <w:spacing w:after="0"/>
        <w:rPr>
          <w:sz w:val="20"/>
          <w:szCs w:val="20"/>
          <w:color w:val="auto"/>
        </w:rPr>
      </w:pPr>
      <w:r>
        <w:rPr>
          <w:rFonts w:ascii="Arial" w:cs="Arial" w:eastAsia="Arial" w:hAnsi="Arial"/>
          <w:sz w:val="23"/>
          <w:szCs w:val="23"/>
          <w:b w:val="1"/>
          <w:bCs w:val="1"/>
          <w:color w:val="auto"/>
        </w:rPr>
        <w:t>SCHEDULE 14A INFORMATION</w:t>
      </w:r>
    </w:p>
    <w:p>
      <w:pPr>
        <w:sectPr>
          <w:pgSz w:w="11900" w:h="16838" w:orient="portrait"/>
          <w:cols w:equalWidth="0" w:num="1">
            <w:col w:w="10260"/>
          </w:cols>
          <w:pgMar w:left="240" w:top="650" w:right="1399" w:bottom="1118" w:gutter="0" w:footer="0" w:header="0"/>
        </w:sectPr>
      </w:pPr>
    </w:p>
    <w:p>
      <w:pPr>
        <w:spacing w:after="0" w:line="238" w:lineRule="exact"/>
        <w:rPr>
          <w:sz w:val="24"/>
          <w:szCs w:val="24"/>
          <w:color w:val="auto"/>
        </w:rPr>
      </w:pPr>
    </w:p>
    <w:p>
      <w:pPr>
        <w:ind w:left="4060"/>
        <w:spacing w:after="0"/>
        <w:rPr>
          <w:sz w:val="20"/>
          <w:szCs w:val="20"/>
          <w:color w:val="auto"/>
        </w:rPr>
      </w:pPr>
      <w:r>
        <w:rPr>
          <w:rFonts w:ascii="Arial" w:cs="Arial" w:eastAsia="Arial" w:hAnsi="Arial"/>
          <w:sz w:val="16"/>
          <w:szCs w:val="16"/>
          <w:color w:val="auto"/>
        </w:rPr>
        <w:t>Proxy Statement Pursuant to Section 14(a) of</w:t>
      </w:r>
    </w:p>
    <w:p>
      <w:pPr>
        <w:spacing w:after="0" w:line="6"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11" w:lineRule="exact"/>
        <w:rPr>
          <w:sz w:val="24"/>
          <w:szCs w:val="24"/>
          <w:color w:val="auto"/>
        </w:rPr>
      </w:pPr>
    </w:p>
    <w:p>
      <w:pPr>
        <w:sectPr>
          <w:pgSz w:w="11900" w:h="16838" w:orient="portrait"/>
          <w:cols w:equalWidth="0" w:num="2">
            <w:col w:w="7380" w:space="560"/>
            <w:col w:w="2320"/>
          </w:cols>
          <w:pgMar w:left="240" w:top="650" w:right="1399" w:bottom="1118"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2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50" w:right="1399" w:bottom="1118" w:gutter="0" w:footer="0" w:header="0"/>
          <w:type w:val="continuous"/>
        </w:sectPr>
      </w:pPr>
    </w:p>
    <w:p>
      <w:pPr>
        <w:spacing w:after="0" w:line="22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20" w:space="300"/>
            <w:col w:w="8740"/>
          </w:cols>
          <w:pgMar w:left="240" w:top="650" w:right="1399" w:bottom="1118"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200" w:lineRule="exact"/>
        <w:rPr>
          <w:sz w:val="24"/>
          <w:szCs w:val="24"/>
          <w:color w:val="auto"/>
        </w:rPr>
      </w:pPr>
    </w:p>
    <w:p>
      <w:pPr>
        <w:sectPr>
          <w:pgSz w:w="11900" w:h="16838" w:orient="portrait"/>
          <w:cols w:equalWidth="0" w:num="2">
            <w:col w:w="1220" w:space="300"/>
            <w:col w:w="8740"/>
          </w:cols>
          <w:pgMar w:left="240" w:top="650" w:right="1399" w:bottom="1118"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300"/>
            <w:col w:w="8740"/>
          </w:cols>
          <w:pgMar w:left="240" w:top="650" w:right="1399" w:bottom="1118" w:gutter="0" w:footer="0" w:header="0"/>
          <w:type w:val="continuous"/>
        </w:sectPr>
      </w:pPr>
    </w:p>
    <w:p>
      <w:pPr>
        <w:spacing w:after="0" w:line="24"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20"/>
            <w:col w:w="8740"/>
          </w:cols>
          <w:pgMar w:left="240" w:top="650" w:right="1399" w:bottom="1118"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300"/>
            <w:col w:w="8740"/>
          </w:cols>
          <w:pgMar w:left="240" w:top="650" w:right="1399" w:bottom="1118" w:gutter="0" w:footer="0" w:header="0"/>
          <w:type w:val="continuous"/>
        </w:sectPr>
      </w:pPr>
    </w:p>
    <w:p>
      <w:pPr>
        <w:spacing w:after="0" w:line="39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70485</wp:posOffset>
            </wp:positionV>
            <wp:extent cx="581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3" w:lineRule="exact"/>
        <w:rPr>
          <w:sz w:val="24"/>
          <w:szCs w:val="24"/>
          <w:color w:val="auto"/>
        </w:rPr>
      </w:pPr>
    </w:p>
    <w:p>
      <w:pPr>
        <w:jc w:val="center"/>
        <w:ind w:right="-115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323215</wp:posOffset>
            </wp:positionV>
            <wp:extent cx="5817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4" w:lineRule="exact"/>
        <w:rPr>
          <w:sz w:val="24"/>
          <w:szCs w:val="24"/>
          <w:color w:val="auto"/>
        </w:rPr>
      </w:pPr>
    </w:p>
    <w:p>
      <w:pPr>
        <w:ind w:left="1520" w:hanging="374"/>
        <w:spacing w:after="0"/>
        <w:tabs>
          <w:tab w:leader="none" w:pos="1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46" w:lineRule="exact"/>
        <w:rPr>
          <w:sz w:val="24"/>
          <w:szCs w:val="24"/>
          <w:color w:val="auto"/>
        </w:rPr>
      </w:pPr>
    </w:p>
    <w:p>
      <w:pPr>
        <w:ind w:left="1520" w:hanging="374"/>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8"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6" w:lineRule="exact"/>
        <w:rPr>
          <w:rFonts w:ascii="Arial" w:cs="Arial" w:eastAsia="Arial" w:hAnsi="Arial"/>
          <w:sz w:val="16"/>
          <w:szCs w:val="16"/>
          <w:color w:val="auto"/>
        </w:rPr>
      </w:pPr>
    </w:p>
    <w:p>
      <w:pPr>
        <w:ind w:left="1880" w:right="100" w:hanging="367"/>
        <w:spacing w:after="0" w:line="264" w:lineRule="auto"/>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15"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left="1520" w:hanging="374"/>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46" w:lineRule="exact"/>
        <w:rPr>
          <w:rFonts w:ascii="Arial" w:cs="Arial" w:eastAsia="Arial" w:hAnsi="Arial"/>
          <w:sz w:val="16"/>
          <w:szCs w:val="16"/>
          <w:color w:val="auto"/>
        </w:rPr>
      </w:pPr>
    </w:p>
    <w:p>
      <w:pPr>
        <w:ind w:left="1520" w:hanging="374"/>
        <w:spacing w:after="0" w:line="255"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0"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216535</wp:posOffset>
            </wp:positionV>
            <wp:extent cx="725995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-3082925</wp:posOffset>
            </wp:positionV>
            <wp:extent cx="5335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-2809875</wp:posOffset>
            </wp:positionV>
            <wp:extent cx="5335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-2416175</wp:posOffset>
            </wp:positionV>
            <wp:extent cx="5335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-2142490</wp:posOffset>
            </wp:positionV>
            <wp:extent cx="5335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-1869440</wp:posOffset>
            </wp:positionV>
            <wp:extent cx="5335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-672465</wp:posOffset>
            </wp:positionV>
            <wp:extent cx="5335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-399415</wp:posOffset>
            </wp:positionV>
            <wp:extent cx="5335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-126365</wp:posOffset>
            </wp:positionV>
            <wp:extent cx="5335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146685</wp:posOffset>
            </wp:positionV>
            <wp:extent cx="5335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5270" cy="8255"/>
                    </a:xfrm>
                    <a:prstGeom prst="rect">
                      <a:avLst/>
                    </a:prstGeom>
                    <a:noFill/>
                  </pic:spPr>
                </pic:pic>
              </a:graphicData>
            </a:graphic>
          </wp:anchor>
        </w:drawing>
      </w:r>
    </w:p>
    <w:p>
      <w:pPr>
        <w:sectPr>
          <w:pgSz w:w="11900" w:h="16838" w:orient="portrait"/>
          <w:cols w:equalWidth="0" w:num="1">
            <w:col w:w="10260"/>
          </w:cols>
          <w:pgMar w:left="240" w:top="650" w:right="1399" w:bottom="1118"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731520</wp:posOffset>
            </wp:positionH>
            <wp:positionV relativeFrom="page">
              <wp:posOffset>88900</wp:posOffset>
            </wp:positionV>
            <wp:extent cx="5784850" cy="7239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23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130175</wp:posOffset>
            </wp:positionV>
            <wp:extent cx="2555240" cy="313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240"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REGENERON PHARMACEUTICALS,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777 Old Saw Mill River Road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Tarrytown, New York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130175</wp:posOffset>
            </wp:positionV>
            <wp:extent cx="1823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2016 Annual Meeting of Shareholders of Regeneron Pharmaceuticals, Inc. (the "Company") will be held on Friday, June 10, 2016, commencing at 10:30 a.m., Eastern Time, at the Westchester Marriott Hotel, 670 White Plains Road, Tarrytown, New York, for the following purposes:</w:t>
      </w:r>
    </w:p>
    <w:p>
      <w:pPr>
        <w:sectPr>
          <w:pgSz w:w="11900" w:h="16838" w:orient="portrait"/>
          <w:cols w:equalWidth="0" w:num="1">
            <w:col w:w="11420"/>
          </w:cols>
          <w:pgMar w:left="240" w:top="1440" w:right="239" w:bottom="0" w:gutter="0" w:footer="0" w:header="0"/>
        </w:sectPr>
      </w:pPr>
    </w:p>
    <w:bookmarkStart w:id="11" w:name="page12"/>
    <w:bookmarkEnd w:id="11"/>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three Class I directors for a term of three years;</w:t>
      </w:r>
    </w:p>
    <w:p>
      <w:pPr>
        <w:spacing w:after="0" w:line="208" w:lineRule="exact"/>
        <w:rPr>
          <w:rFonts w:ascii="Arial" w:cs="Arial" w:eastAsia="Arial" w:hAnsi="Arial"/>
          <w:sz w:val="16"/>
          <w:szCs w:val="16"/>
          <w:color w:val="auto"/>
        </w:rPr>
      </w:pPr>
    </w:p>
    <w:p>
      <w:pPr>
        <w:ind w:left="1020" w:hanging="513"/>
        <w:spacing w:after="0" w:line="26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2016; and</w:t>
      </w:r>
    </w:p>
    <w:p>
      <w:pPr>
        <w:spacing w:after="0" w:line="164" w:lineRule="exact"/>
        <w:rPr>
          <w:rFonts w:ascii="Arial" w:cs="Arial" w:eastAsia="Arial" w:hAnsi="Arial"/>
          <w:sz w:val="16"/>
          <w:szCs w:val="16"/>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meeting and any adjournment(s) or postponement(s) thereof.</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board of directors has fixed the close of business on April 14, 2016 as the record date for determining shareholders entitled to notice of, and to vote at, the Annual Meeting and at any adjournment(s) or postponement(s) thereof.</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Pursuant to the rules of the Securities and Exchange Commission, we have elected to use the "Notice and Access" method of providing our proxy materials over the Internet. Accordingly, we will mail, beginning on or about April 27, 2016, a Notice of Internet Availability of Proxy Materials to our shareholders of record and beneficial owners as of the record date (other than (i) those who previously elected to access the proxy materials over the Internet, (ii) those who have previously asked to receive paper copies of the proxy materials, and (iii) shareholders who participate and hold shares of common stock in the Regeneron Pharmaceuticals, Inc. 401(k) Savings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Notice of Internet Availability of Proxy Materials also contains a toll-free telephone number, an e-mail address, and a website where shareholders can request a paper or electronic copy of the proxy statement, our 2015 annual report, and/or a form of proxy relating to the Annual Meeting. These materials are available free of charge. The Notice also contains information on how to access and vote the form of proxy.</w:t>
      </w:r>
    </w:p>
    <w:p>
      <w:pPr>
        <w:spacing w:after="0" w:line="200" w:lineRule="exact"/>
        <w:rPr>
          <w:sz w:val="20"/>
          <w:szCs w:val="20"/>
          <w:color w:val="auto"/>
        </w:rPr>
      </w:pP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290830</wp:posOffset>
            </wp:positionV>
            <wp:extent cx="1325880" cy="417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5880"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Joseph J. LaRosa</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Senior Vice President, General Counsel and Secretary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April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25995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146050</wp:posOffset>
            </wp:positionV>
            <wp:extent cx="18237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3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472440</wp:posOffset>
            </wp:positionV>
            <wp:extent cx="7255510" cy="345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34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7620" w:type="dxa"/>
            <w:vAlign w:val="bottom"/>
            <w:gridSpan w:val="31"/>
          </w:tcPr>
          <w:p>
            <w:pPr>
              <w:spacing w:after="0"/>
              <w:rPr>
                <w:rFonts w:ascii="Arial" w:cs="Arial" w:eastAsia="Arial" w:hAnsi="Arial"/>
                <w:sz w:val="16"/>
                <w:szCs w:val="16"/>
                <w:b w:val="1"/>
                <w:bCs w:val="1"/>
                <w:color w:val="5668B0"/>
              </w:rPr>
            </w:pPr>
            <w:hyperlink w:anchor="page13">
              <w:r>
                <w:rPr>
                  <w:rFonts w:ascii="Arial" w:cs="Arial" w:eastAsia="Arial" w:hAnsi="Arial"/>
                  <w:sz w:val="16"/>
                  <w:szCs w:val="16"/>
                  <w:b w:val="1"/>
                  <w:bCs w:val="1"/>
                  <w:color w:val="5668B0"/>
                </w:rPr>
                <w:t>Table of Contents</w:t>
              </w:r>
            </w:hyperlink>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2"/>
          </w:tcPr>
          <w:p>
            <w:pPr>
              <w:ind w:left="40"/>
              <w:spacing w:after="0"/>
              <w:rPr>
                <w:rFonts w:ascii="Arial" w:cs="Arial" w:eastAsia="Arial" w:hAnsi="Arial"/>
                <w:sz w:val="16"/>
                <w:szCs w:val="16"/>
                <w:b w:val="1"/>
                <w:bCs w:val="1"/>
                <w:u w:val="single" w:color="auto"/>
                <w:color w:val="5668B0"/>
              </w:rPr>
            </w:pPr>
            <w:hyperlink w:anchor="page13">
              <w:r>
                <w:rPr>
                  <w:rFonts w:ascii="Arial" w:cs="Arial" w:eastAsia="Arial" w:hAnsi="Arial"/>
                  <w:sz w:val="16"/>
                  <w:szCs w:val="16"/>
                  <w:b w:val="1"/>
                  <w:bCs w:val="1"/>
                  <w:u w:val="single" w:color="auto"/>
                  <w:color w:val="5668B0"/>
                </w:rPr>
                <w:t>i</w:t>
              </w:r>
            </w:hyperlink>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5668B0"/>
              <w:bottom w:val="single" w:sz="8" w:color="5668B0"/>
            </w:tcBorders>
          </w:tcPr>
          <w:p>
            <w:pPr>
              <w:spacing w:after="0" w:line="20" w:lineRule="exact"/>
              <w:rPr>
                <w:sz w:val="1"/>
                <w:szCs w:val="1"/>
                <w:color w:val="auto"/>
              </w:rPr>
            </w:pPr>
          </w:p>
        </w:tc>
        <w:tc>
          <w:tcPr>
            <w:tcW w:w="38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2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Borders>
              <w:bottom w:val="single" w:sz="8" w:color="5668B0"/>
            </w:tcBorders>
          </w:tcPr>
          <w:p>
            <w:pPr>
              <w:spacing w:after="0" w:line="20" w:lineRule="exact"/>
              <w:rPr>
                <w:sz w:val="1"/>
                <w:szCs w:val="1"/>
                <w:color w:val="auto"/>
              </w:rPr>
            </w:pPr>
          </w:p>
        </w:tc>
        <w:tc>
          <w:tcPr>
            <w:tcW w:w="160" w:type="dxa"/>
            <w:vAlign w:val="bottom"/>
            <w:tcBorders>
              <w:bottom w:val="single" w:sz="8" w:color="5668B0"/>
            </w:tcBorders>
          </w:tcPr>
          <w:p>
            <w:pPr>
              <w:spacing w:after="0" w:line="20" w:lineRule="exact"/>
              <w:rPr>
                <w:sz w:val="1"/>
                <w:szCs w:val="1"/>
                <w:color w:val="auto"/>
              </w:rPr>
            </w:pPr>
          </w:p>
        </w:tc>
        <w:tc>
          <w:tcPr>
            <w:tcW w:w="10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36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 w:type="dxa"/>
            <w:vAlign w:val="bottom"/>
            <w:tcBorders>
              <w:bottom w:val="single" w:sz="8" w:color="5668B0"/>
            </w:tcBorders>
          </w:tcPr>
          <w:p>
            <w:pPr>
              <w:spacing w:after="0" w:line="20" w:lineRule="exact"/>
              <w:rPr>
                <w:sz w:val="1"/>
                <w:szCs w:val="1"/>
                <w:color w:val="auto"/>
              </w:rPr>
            </w:pPr>
          </w:p>
        </w:tc>
        <w:tc>
          <w:tcPr>
            <w:tcW w:w="44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640" w:type="dxa"/>
            <w:vAlign w:val="bottom"/>
            <w:tcBorders>
              <w:bottom w:val="single" w:sz="8" w:color="5668B0"/>
            </w:tcBorders>
          </w:tcPr>
          <w:p>
            <w:pPr>
              <w:spacing w:after="0" w:line="20" w:lineRule="exact"/>
              <w:rPr>
                <w:sz w:val="1"/>
                <w:szCs w:val="1"/>
                <w:color w:val="auto"/>
              </w:rPr>
            </w:pPr>
          </w:p>
        </w:tc>
        <w:tc>
          <w:tcPr>
            <w:tcW w:w="60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560" w:type="dxa"/>
            <w:vAlign w:val="bottom"/>
            <w:tcBorders>
              <w:bottom w:val="single" w:sz="8" w:color="5668B0"/>
            </w:tcBorders>
          </w:tcPr>
          <w:p>
            <w:pPr>
              <w:spacing w:after="0" w:line="20" w:lineRule="exact"/>
              <w:rPr>
                <w:sz w:val="1"/>
                <w:szCs w:val="1"/>
                <w:color w:val="auto"/>
              </w:rPr>
            </w:pPr>
          </w:p>
        </w:tc>
        <w:tc>
          <w:tcPr>
            <w:tcW w:w="70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36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24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340" w:type="dxa"/>
            <w:vAlign w:val="bottom"/>
            <w:tcBorders>
              <w:bottom w:val="single" w:sz="8" w:color="5668B0"/>
            </w:tcBorders>
          </w:tcPr>
          <w:p>
            <w:pPr>
              <w:spacing w:after="0" w:line="20" w:lineRule="exact"/>
              <w:rPr>
                <w:sz w:val="1"/>
                <w:szCs w:val="1"/>
                <w:color w:val="auto"/>
              </w:rPr>
            </w:pPr>
          </w:p>
        </w:tc>
        <w:tc>
          <w:tcPr>
            <w:tcW w:w="10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1"/>
          </w:tcPr>
          <w:p>
            <w:pPr>
              <w:spacing w:after="0"/>
              <w:rPr>
                <w:rFonts w:ascii="Arial" w:cs="Arial" w:eastAsia="Arial" w:hAnsi="Arial"/>
                <w:sz w:val="16"/>
                <w:szCs w:val="16"/>
                <w:b w:val="1"/>
                <w:bCs w:val="1"/>
                <w:color w:val="5668B0"/>
              </w:rPr>
            </w:pPr>
            <w:hyperlink w:anchor="page15">
              <w:r>
                <w:rPr>
                  <w:rFonts w:ascii="Arial" w:cs="Arial" w:eastAsia="Arial" w:hAnsi="Arial"/>
                  <w:sz w:val="16"/>
                  <w:szCs w:val="16"/>
                  <w:b w:val="1"/>
                  <w:bCs w:val="1"/>
                  <w:color w:val="5668B0"/>
                </w:rPr>
                <w:t>Proxy Summary</w:t>
              </w:r>
            </w:hyperlink>
          </w:p>
        </w:tc>
        <w:tc>
          <w:tcPr>
            <w:tcW w:w="1520" w:type="dxa"/>
            <w:vAlign w:val="bottom"/>
            <w:gridSpan w:val="3"/>
          </w:tcPr>
          <w:p>
            <w:pPr>
              <w:jc w:val="right"/>
              <w:spacing w:after="0"/>
              <w:rPr>
                <w:rFonts w:ascii="Arial" w:cs="Arial" w:eastAsia="Arial" w:hAnsi="Arial"/>
                <w:sz w:val="16"/>
                <w:szCs w:val="16"/>
                <w:b w:val="1"/>
                <w:bCs w:val="1"/>
                <w:color w:val="5668B0"/>
              </w:rPr>
            </w:pPr>
            <w:hyperlink w:anchor="page15">
              <w:r>
                <w:rPr>
                  <w:rFonts w:ascii="Arial" w:cs="Arial" w:eastAsia="Arial" w:hAnsi="Arial"/>
                  <w:sz w:val="16"/>
                  <w:szCs w:val="16"/>
                  <w:b w:val="1"/>
                  <w:bCs w:val="1"/>
                  <w:color w:val="5668B0"/>
                </w:rPr>
                <w:t>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5668B0"/>
              <w:bottom w:val="single" w:sz="8" w:color="5668B0"/>
            </w:tcBorders>
          </w:tcPr>
          <w:p>
            <w:pPr>
              <w:spacing w:after="0" w:line="20" w:lineRule="exact"/>
              <w:rPr>
                <w:sz w:val="1"/>
                <w:szCs w:val="1"/>
                <w:color w:val="auto"/>
              </w:rPr>
            </w:pPr>
          </w:p>
        </w:tc>
        <w:tc>
          <w:tcPr>
            <w:tcW w:w="38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bottom w:val="single" w:sz="8" w:color="5668B0"/>
            </w:tcBorders>
          </w:tcPr>
          <w:p>
            <w:pPr>
              <w:spacing w:after="0" w:line="20" w:lineRule="exact"/>
              <w:rPr>
                <w:sz w:val="1"/>
                <w:szCs w:val="1"/>
                <w:color w:val="auto"/>
              </w:rPr>
            </w:pPr>
          </w:p>
        </w:tc>
        <w:tc>
          <w:tcPr>
            <w:tcW w:w="20" w:type="dxa"/>
            <w:vAlign w:val="bottom"/>
            <w:tcBorders>
              <w:bottom w:val="single" w:sz="8" w:color="5668B0"/>
            </w:tcBorders>
          </w:tcPr>
          <w:p>
            <w:pPr>
              <w:spacing w:after="0" w:line="20" w:lineRule="exact"/>
              <w:rPr>
                <w:sz w:val="1"/>
                <w:szCs w:val="1"/>
                <w:color w:val="auto"/>
              </w:rPr>
            </w:pPr>
          </w:p>
        </w:tc>
        <w:tc>
          <w:tcPr>
            <w:tcW w:w="140" w:type="dxa"/>
            <w:vAlign w:val="bottom"/>
            <w:tcBorders>
              <w:bottom w:val="single" w:sz="8" w:color="5668B0"/>
            </w:tcBorders>
          </w:tcPr>
          <w:p>
            <w:pPr>
              <w:spacing w:after="0" w:line="20" w:lineRule="exact"/>
              <w:rPr>
                <w:sz w:val="1"/>
                <w:szCs w:val="1"/>
                <w:color w:val="auto"/>
              </w:rPr>
            </w:pPr>
          </w:p>
        </w:tc>
        <w:tc>
          <w:tcPr>
            <w:tcW w:w="160" w:type="dxa"/>
            <w:vAlign w:val="bottom"/>
            <w:tcBorders>
              <w:bottom w:val="single" w:sz="8" w:color="5668B0"/>
            </w:tcBorders>
          </w:tcPr>
          <w:p>
            <w:pPr>
              <w:spacing w:after="0" w:line="20" w:lineRule="exact"/>
              <w:rPr>
                <w:sz w:val="1"/>
                <w:szCs w:val="1"/>
                <w:color w:val="auto"/>
              </w:rPr>
            </w:pPr>
          </w:p>
        </w:tc>
        <w:tc>
          <w:tcPr>
            <w:tcW w:w="10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36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 w:type="dxa"/>
            <w:vAlign w:val="bottom"/>
            <w:tcBorders>
              <w:bottom w:val="single" w:sz="8" w:color="5668B0"/>
            </w:tcBorders>
          </w:tcPr>
          <w:p>
            <w:pPr>
              <w:spacing w:after="0" w:line="20" w:lineRule="exact"/>
              <w:rPr>
                <w:sz w:val="1"/>
                <w:szCs w:val="1"/>
                <w:color w:val="auto"/>
              </w:rPr>
            </w:pPr>
          </w:p>
        </w:tc>
        <w:tc>
          <w:tcPr>
            <w:tcW w:w="44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640" w:type="dxa"/>
            <w:vAlign w:val="bottom"/>
            <w:tcBorders>
              <w:bottom w:val="single" w:sz="8" w:color="5668B0"/>
            </w:tcBorders>
          </w:tcPr>
          <w:p>
            <w:pPr>
              <w:spacing w:after="0" w:line="20" w:lineRule="exact"/>
              <w:rPr>
                <w:sz w:val="1"/>
                <w:szCs w:val="1"/>
                <w:color w:val="auto"/>
              </w:rPr>
            </w:pPr>
          </w:p>
        </w:tc>
        <w:tc>
          <w:tcPr>
            <w:tcW w:w="60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560" w:type="dxa"/>
            <w:vAlign w:val="bottom"/>
            <w:tcBorders>
              <w:bottom w:val="single" w:sz="8" w:color="5668B0"/>
            </w:tcBorders>
          </w:tcPr>
          <w:p>
            <w:pPr>
              <w:spacing w:after="0" w:line="20" w:lineRule="exact"/>
              <w:rPr>
                <w:sz w:val="1"/>
                <w:szCs w:val="1"/>
                <w:color w:val="auto"/>
              </w:rPr>
            </w:pPr>
          </w:p>
        </w:tc>
        <w:tc>
          <w:tcPr>
            <w:tcW w:w="70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36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24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340" w:type="dxa"/>
            <w:vAlign w:val="bottom"/>
            <w:tcBorders>
              <w:bottom w:val="single" w:sz="8" w:color="5668B0"/>
            </w:tcBorders>
          </w:tcPr>
          <w:p>
            <w:pPr>
              <w:spacing w:after="0" w:line="20" w:lineRule="exact"/>
              <w:rPr>
                <w:sz w:val="1"/>
                <w:szCs w:val="1"/>
                <w:color w:val="auto"/>
              </w:rPr>
            </w:pPr>
          </w:p>
        </w:tc>
        <w:tc>
          <w:tcPr>
            <w:tcW w:w="100" w:type="dxa"/>
            <w:vAlign w:val="bottom"/>
            <w:tcBorders>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1"/>
          </w:tcPr>
          <w:p>
            <w:pPr>
              <w:spacing w:after="0"/>
              <w:rPr>
                <w:rFonts w:ascii="Arial" w:cs="Arial" w:eastAsia="Arial" w:hAnsi="Arial"/>
                <w:sz w:val="16"/>
                <w:szCs w:val="16"/>
                <w:b w:val="1"/>
                <w:bCs w:val="1"/>
                <w:color w:val="5668B0"/>
              </w:rPr>
            </w:pPr>
            <w:hyperlink w:anchor="page20">
              <w:r>
                <w:rPr>
                  <w:rFonts w:ascii="Arial" w:cs="Arial" w:eastAsia="Arial" w:hAnsi="Arial"/>
                  <w:sz w:val="16"/>
                  <w:szCs w:val="16"/>
                  <w:b w:val="1"/>
                  <w:bCs w:val="1"/>
                  <w:color w:val="5668B0"/>
                </w:rPr>
                <w:t>General Information about the Meeting</w:t>
              </w:r>
            </w:hyperlink>
          </w:p>
        </w:tc>
        <w:tc>
          <w:tcPr>
            <w:tcW w:w="1520" w:type="dxa"/>
            <w:vAlign w:val="bottom"/>
            <w:gridSpan w:val="3"/>
          </w:tcPr>
          <w:p>
            <w:pPr>
              <w:jc w:val="right"/>
              <w:spacing w:after="0"/>
              <w:rPr>
                <w:rFonts w:ascii="Arial" w:cs="Arial" w:eastAsia="Arial" w:hAnsi="Arial"/>
                <w:sz w:val="16"/>
                <w:szCs w:val="16"/>
                <w:b w:val="1"/>
                <w:bCs w:val="1"/>
                <w:color w:val="5668B0"/>
              </w:rPr>
            </w:pPr>
            <w:hyperlink w:anchor="page20">
              <w:r>
                <w:rPr>
                  <w:rFonts w:ascii="Arial" w:cs="Arial" w:eastAsia="Arial" w:hAnsi="Arial"/>
                  <w:sz w:val="16"/>
                  <w:szCs w:val="16"/>
                  <w:b w:val="1"/>
                  <w:bCs w:val="1"/>
                  <w:color w:val="5668B0"/>
                </w:rPr>
                <w:t>6</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5668B0"/>
              <w:bottom w:val="single" w:sz="8" w:color="5668B0"/>
            </w:tcBorders>
          </w:tcPr>
          <w:p>
            <w:pPr>
              <w:spacing w:after="0" w:line="20" w:lineRule="exact"/>
              <w:rPr>
                <w:sz w:val="1"/>
                <w:szCs w:val="1"/>
                <w:color w:val="auto"/>
              </w:rPr>
            </w:pPr>
          </w:p>
        </w:tc>
        <w:tc>
          <w:tcPr>
            <w:tcW w:w="38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2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Borders>
              <w:top w:val="single" w:sz="8" w:color="5668B0"/>
              <w:bottom w:val="single" w:sz="8" w:color="5668B0"/>
            </w:tcBorders>
          </w:tcPr>
          <w:p>
            <w:pPr>
              <w:spacing w:after="0" w:line="20" w:lineRule="exact"/>
              <w:rPr>
                <w:sz w:val="1"/>
                <w:szCs w:val="1"/>
                <w:color w:val="auto"/>
              </w:rPr>
            </w:pPr>
          </w:p>
        </w:tc>
        <w:tc>
          <w:tcPr>
            <w:tcW w:w="16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top w:val="single" w:sz="8" w:color="5668B0"/>
              <w:bottom w:val="single" w:sz="8" w:color="5668B0"/>
            </w:tcBorders>
          </w:tcPr>
          <w:p>
            <w:pPr>
              <w:spacing w:after="0" w:line="20" w:lineRule="exact"/>
              <w:rPr>
                <w:sz w:val="1"/>
                <w:szCs w:val="1"/>
                <w:color w:val="auto"/>
              </w:rPr>
            </w:pPr>
          </w:p>
        </w:tc>
        <w:tc>
          <w:tcPr>
            <w:tcW w:w="36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 w:type="dxa"/>
            <w:vAlign w:val="bottom"/>
            <w:tcBorders>
              <w:bottom w:val="single" w:sz="8" w:color="5668B0"/>
            </w:tcBorders>
          </w:tcPr>
          <w:p>
            <w:pPr>
              <w:spacing w:after="0" w:line="20" w:lineRule="exact"/>
              <w:rPr>
                <w:sz w:val="1"/>
                <w:szCs w:val="1"/>
                <w:color w:val="auto"/>
              </w:rPr>
            </w:pPr>
          </w:p>
        </w:tc>
        <w:tc>
          <w:tcPr>
            <w:tcW w:w="44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640" w:type="dxa"/>
            <w:vAlign w:val="bottom"/>
            <w:tcBorders>
              <w:bottom w:val="single" w:sz="8" w:color="5668B0"/>
            </w:tcBorders>
          </w:tcPr>
          <w:p>
            <w:pPr>
              <w:spacing w:after="0" w:line="20" w:lineRule="exact"/>
              <w:rPr>
                <w:sz w:val="1"/>
                <w:szCs w:val="1"/>
                <w:color w:val="auto"/>
              </w:rPr>
            </w:pPr>
          </w:p>
        </w:tc>
        <w:tc>
          <w:tcPr>
            <w:tcW w:w="60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560" w:type="dxa"/>
            <w:vAlign w:val="bottom"/>
            <w:tcBorders>
              <w:bottom w:val="single" w:sz="8" w:color="5668B0"/>
            </w:tcBorders>
          </w:tcPr>
          <w:p>
            <w:pPr>
              <w:spacing w:after="0" w:line="20" w:lineRule="exact"/>
              <w:rPr>
                <w:sz w:val="1"/>
                <w:szCs w:val="1"/>
                <w:color w:val="auto"/>
              </w:rPr>
            </w:pPr>
          </w:p>
        </w:tc>
        <w:tc>
          <w:tcPr>
            <w:tcW w:w="70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36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24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340" w:type="dxa"/>
            <w:vAlign w:val="bottom"/>
            <w:tcBorders>
              <w:bottom w:val="single" w:sz="8" w:color="5668B0"/>
            </w:tcBorders>
          </w:tcPr>
          <w:p>
            <w:pPr>
              <w:spacing w:after="0" w:line="20" w:lineRule="exact"/>
              <w:rPr>
                <w:sz w:val="1"/>
                <w:szCs w:val="1"/>
                <w:color w:val="auto"/>
              </w:rPr>
            </w:pPr>
          </w:p>
        </w:tc>
        <w:tc>
          <w:tcPr>
            <w:tcW w:w="100" w:type="dxa"/>
            <w:vAlign w:val="bottom"/>
            <w:tcBorders>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1"/>
          </w:tcPr>
          <w:p>
            <w:pPr>
              <w:spacing w:after="0"/>
              <w:rPr>
                <w:rFonts w:ascii="Arial" w:cs="Arial" w:eastAsia="Arial" w:hAnsi="Arial"/>
                <w:sz w:val="16"/>
                <w:szCs w:val="16"/>
                <w:b w:val="1"/>
                <w:bCs w:val="1"/>
                <w:color w:val="5668B0"/>
              </w:rPr>
            </w:pPr>
            <w:hyperlink w:anchor="page24">
              <w:r>
                <w:rPr>
                  <w:rFonts w:ascii="Arial" w:cs="Arial" w:eastAsia="Arial" w:hAnsi="Arial"/>
                  <w:sz w:val="16"/>
                  <w:szCs w:val="16"/>
                  <w:b w:val="1"/>
                  <w:bCs w:val="1"/>
                  <w:color w:val="5668B0"/>
                </w:rPr>
                <w:t>Proposal No. 1: Election of Directors</w:t>
              </w:r>
            </w:hyperlink>
          </w:p>
        </w:tc>
        <w:tc>
          <w:tcPr>
            <w:tcW w:w="1520" w:type="dxa"/>
            <w:vAlign w:val="bottom"/>
            <w:gridSpan w:val="3"/>
          </w:tcPr>
          <w:p>
            <w:pPr>
              <w:jc w:val="right"/>
              <w:spacing w:after="0"/>
              <w:rPr>
                <w:rFonts w:ascii="Arial" w:cs="Arial" w:eastAsia="Arial" w:hAnsi="Arial"/>
                <w:sz w:val="16"/>
                <w:szCs w:val="16"/>
                <w:b w:val="1"/>
                <w:bCs w:val="1"/>
                <w:color w:val="5668B0"/>
              </w:rPr>
            </w:pPr>
            <w:hyperlink w:anchor="page24">
              <w:r>
                <w:rPr>
                  <w:rFonts w:ascii="Arial" w:cs="Arial" w:eastAsia="Arial" w:hAnsi="Arial"/>
                  <w:sz w:val="16"/>
                  <w:szCs w:val="16"/>
                  <w:b w:val="1"/>
                  <w:bCs w:val="1"/>
                  <w:color w:val="5668B0"/>
                </w:rPr>
                <w:t>10</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5668B0"/>
              <w:bottom w:val="single" w:sz="8" w:color="5668B0"/>
            </w:tcBorders>
          </w:tcPr>
          <w:p>
            <w:pPr>
              <w:spacing w:after="0" w:line="20" w:lineRule="exact"/>
              <w:rPr>
                <w:sz w:val="1"/>
                <w:szCs w:val="1"/>
                <w:color w:val="auto"/>
              </w:rPr>
            </w:pPr>
          </w:p>
        </w:tc>
        <w:tc>
          <w:tcPr>
            <w:tcW w:w="38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2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Borders>
              <w:top w:val="single" w:sz="8" w:color="5668B0"/>
              <w:bottom w:val="single" w:sz="8" w:color="5668B0"/>
            </w:tcBorders>
          </w:tcPr>
          <w:p>
            <w:pPr>
              <w:spacing w:after="0" w:line="20" w:lineRule="exact"/>
              <w:rPr>
                <w:sz w:val="1"/>
                <w:szCs w:val="1"/>
                <w:color w:val="auto"/>
              </w:rPr>
            </w:pPr>
          </w:p>
        </w:tc>
        <w:tc>
          <w:tcPr>
            <w:tcW w:w="16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top w:val="single" w:sz="8" w:color="5668B0"/>
              <w:bottom w:val="single" w:sz="8" w:color="5668B0"/>
            </w:tcBorders>
          </w:tcPr>
          <w:p>
            <w:pPr>
              <w:spacing w:after="0" w:line="20" w:lineRule="exact"/>
              <w:rPr>
                <w:sz w:val="1"/>
                <w:szCs w:val="1"/>
                <w:color w:val="auto"/>
              </w:rPr>
            </w:pPr>
          </w:p>
        </w:tc>
        <w:tc>
          <w:tcPr>
            <w:tcW w:w="36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 w:type="dxa"/>
            <w:vAlign w:val="bottom"/>
            <w:tcBorders>
              <w:bottom w:val="single" w:sz="8" w:color="5668B0"/>
            </w:tcBorders>
          </w:tcPr>
          <w:p>
            <w:pPr>
              <w:spacing w:after="0" w:line="20" w:lineRule="exact"/>
              <w:rPr>
                <w:sz w:val="1"/>
                <w:szCs w:val="1"/>
                <w:color w:val="auto"/>
              </w:rPr>
            </w:pPr>
          </w:p>
        </w:tc>
        <w:tc>
          <w:tcPr>
            <w:tcW w:w="44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640" w:type="dxa"/>
            <w:vAlign w:val="bottom"/>
            <w:tcBorders>
              <w:bottom w:val="single" w:sz="8" w:color="5668B0"/>
            </w:tcBorders>
          </w:tcPr>
          <w:p>
            <w:pPr>
              <w:spacing w:after="0" w:line="20" w:lineRule="exact"/>
              <w:rPr>
                <w:sz w:val="1"/>
                <w:szCs w:val="1"/>
                <w:color w:val="auto"/>
              </w:rPr>
            </w:pPr>
          </w:p>
        </w:tc>
        <w:tc>
          <w:tcPr>
            <w:tcW w:w="60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560" w:type="dxa"/>
            <w:vAlign w:val="bottom"/>
            <w:tcBorders>
              <w:bottom w:val="single" w:sz="8" w:color="5668B0"/>
            </w:tcBorders>
          </w:tcPr>
          <w:p>
            <w:pPr>
              <w:spacing w:after="0" w:line="20" w:lineRule="exact"/>
              <w:rPr>
                <w:sz w:val="1"/>
                <w:szCs w:val="1"/>
                <w:color w:val="auto"/>
              </w:rPr>
            </w:pPr>
          </w:p>
        </w:tc>
        <w:tc>
          <w:tcPr>
            <w:tcW w:w="70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36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24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340" w:type="dxa"/>
            <w:vAlign w:val="bottom"/>
            <w:tcBorders>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7620" w:type="dxa"/>
            <w:vAlign w:val="bottom"/>
            <w:gridSpan w:val="31"/>
          </w:tcPr>
          <w:p>
            <w:pPr>
              <w:spacing w:after="0" w:line="142" w:lineRule="exact"/>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Corporate Governance</w:t>
              </w:r>
            </w:hyperlink>
          </w:p>
        </w:tc>
        <w:tc>
          <w:tcPr>
            <w:tcW w:w="1520" w:type="dxa"/>
            <w:vAlign w:val="bottom"/>
            <w:gridSpan w:val="3"/>
          </w:tcPr>
          <w:p>
            <w:pPr>
              <w:jc w:val="right"/>
              <w:spacing w:after="0" w:line="142" w:lineRule="exact"/>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15</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00" w:type="dxa"/>
            <w:vAlign w:val="bottom"/>
          </w:tcPr>
          <w:p>
            <w:pPr>
              <w:spacing w:after="0" w:line="170" w:lineRule="exact"/>
              <w:rPr>
                <w:rFonts w:ascii="Arial" w:cs="Arial" w:eastAsia="Arial" w:hAnsi="Arial"/>
                <w:sz w:val="16"/>
                <w:szCs w:val="16"/>
                <w:color w:val="0000EE"/>
              </w:rPr>
            </w:pPr>
            <w:hyperlink w:anchor="page29">
              <w:r>
                <w:rPr>
                  <w:rFonts w:ascii="Arial" w:cs="Arial" w:eastAsia="Arial" w:hAnsi="Arial"/>
                  <w:sz w:val="16"/>
                  <w:szCs w:val="16"/>
                  <w:color w:val="0000EE"/>
                </w:rPr>
                <w:t>Overview</w:t>
              </w:r>
            </w:hyperlink>
          </w:p>
        </w:tc>
        <w:tc>
          <w:tcPr>
            <w:tcW w:w="1080" w:type="dxa"/>
            <w:vAlign w:val="bottom"/>
            <w:gridSpan w:val="7"/>
          </w:tcPr>
          <w:p>
            <w:pPr>
              <w:spacing w:after="0"/>
              <w:rPr>
                <w:sz w:val="14"/>
                <w:szCs w:val="14"/>
                <w:color w:val="auto"/>
              </w:rPr>
            </w:pPr>
          </w:p>
        </w:tc>
        <w:tc>
          <w:tcPr>
            <w:tcW w:w="5840" w:type="dxa"/>
            <w:vAlign w:val="bottom"/>
            <w:gridSpan w:val="2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9">
              <w:r>
                <w:rPr>
                  <w:rFonts w:ascii="Arial" w:cs="Arial" w:eastAsia="Arial" w:hAnsi="Arial"/>
                  <w:sz w:val="16"/>
                  <w:szCs w:val="16"/>
                  <w:color w:val="0000EE"/>
                </w:rPr>
                <w:t>15</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1"/>
          </w:tcPr>
          <w:p>
            <w:pPr>
              <w:spacing w:after="0" w:line="170" w:lineRule="exact"/>
              <w:rPr>
                <w:rFonts w:ascii="Arial" w:cs="Arial" w:eastAsia="Arial" w:hAnsi="Arial"/>
                <w:sz w:val="16"/>
                <w:szCs w:val="16"/>
                <w:color w:val="0000EE"/>
              </w:rPr>
            </w:pPr>
            <w:hyperlink w:anchor="page29">
              <w:r>
                <w:rPr>
                  <w:rFonts w:ascii="Arial" w:cs="Arial" w:eastAsia="Arial" w:hAnsi="Arial"/>
                  <w:sz w:val="16"/>
                  <w:szCs w:val="16"/>
                  <w:color w:val="0000EE"/>
                </w:rPr>
                <w:t>Procedures Relating to Nominees</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29">
              <w:r>
                <w:rPr>
                  <w:rFonts w:ascii="Arial" w:cs="Arial" w:eastAsia="Arial" w:hAnsi="Arial"/>
                  <w:sz w:val="16"/>
                  <w:szCs w:val="16"/>
                  <w:color w:val="0000EE"/>
                </w:rPr>
                <w:t>15</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1"/>
          </w:tcPr>
          <w:p>
            <w:pPr>
              <w:spacing w:after="0" w:line="170" w:lineRule="exact"/>
              <w:rPr>
                <w:rFonts w:ascii="Arial" w:cs="Arial" w:eastAsia="Arial" w:hAnsi="Arial"/>
                <w:sz w:val="16"/>
                <w:szCs w:val="16"/>
                <w:color w:val="0000EE"/>
              </w:rPr>
            </w:pPr>
            <w:hyperlink w:anchor="page30">
              <w:r>
                <w:rPr>
                  <w:rFonts w:ascii="Arial" w:cs="Arial" w:eastAsia="Arial" w:hAnsi="Arial"/>
                  <w:sz w:val="16"/>
                  <w:szCs w:val="16"/>
                  <w:color w:val="0000EE"/>
                </w:rPr>
                <w:t>Shareholder Rights to Remove Directors for Cause and to Call Special Shareholder Meeting</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30">
              <w:r>
                <w:rPr>
                  <w:rFonts w:ascii="Arial" w:cs="Arial" w:eastAsia="Arial" w:hAnsi="Arial"/>
                  <w:sz w:val="16"/>
                  <w:szCs w:val="16"/>
                  <w:color w:val="0000EE"/>
                </w:rPr>
                <w:t>16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20" w:type="dxa"/>
            <w:vAlign w:val="bottom"/>
            <w:gridSpan w:val="18"/>
          </w:tcPr>
          <w:p>
            <w:pPr>
              <w:spacing w:after="0" w:line="170" w:lineRule="exact"/>
              <w:rPr>
                <w:rFonts w:ascii="Arial" w:cs="Arial" w:eastAsia="Arial" w:hAnsi="Arial"/>
                <w:sz w:val="16"/>
                <w:szCs w:val="16"/>
                <w:color w:val="0000EE"/>
              </w:rPr>
            </w:pPr>
            <w:hyperlink w:anchor="page30">
              <w:r>
                <w:rPr>
                  <w:rFonts w:ascii="Arial" w:cs="Arial" w:eastAsia="Arial" w:hAnsi="Arial"/>
                  <w:sz w:val="16"/>
                  <w:szCs w:val="16"/>
                  <w:color w:val="0000EE"/>
                </w:rPr>
                <w:t>Shareholder Communications with Directors</w:t>
              </w:r>
            </w:hyperlink>
          </w:p>
        </w:tc>
        <w:tc>
          <w:tcPr>
            <w:tcW w:w="3480" w:type="dxa"/>
            <w:vAlign w:val="bottom"/>
            <w:gridSpan w:val="9"/>
          </w:tcPr>
          <w:p>
            <w:pPr>
              <w:spacing w:after="0"/>
              <w:rPr>
                <w:sz w:val="14"/>
                <w:szCs w:val="14"/>
                <w:color w:val="auto"/>
              </w:rPr>
            </w:pPr>
          </w:p>
        </w:tc>
        <w:tc>
          <w:tcPr>
            <w:tcW w:w="920" w:type="dxa"/>
            <w:vAlign w:val="bottom"/>
            <w:gridSpan w:val="4"/>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0">
              <w:r>
                <w:rPr>
                  <w:rFonts w:ascii="Arial" w:cs="Arial" w:eastAsia="Arial" w:hAnsi="Arial"/>
                  <w:sz w:val="16"/>
                  <w:szCs w:val="16"/>
                  <w:color w:val="0000EE"/>
                </w:rPr>
                <w:t>16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20" w:type="dxa"/>
            <w:vAlign w:val="bottom"/>
            <w:gridSpan w:val="18"/>
          </w:tcPr>
          <w:p>
            <w:pPr>
              <w:spacing w:after="0" w:line="170" w:lineRule="exact"/>
              <w:rPr>
                <w:rFonts w:ascii="Arial" w:cs="Arial" w:eastAsia="Arial" w:hAnsi="Arial"/>
                <w:sz w:val="16"/>
                <w:szCs w:val="16"/>
                <w:color w:val="0000EE"/>
              </w:rPr>
            </w:pPr>
            <w:hyperlink w:anchor="page30">
              <w:r>
                <w:rPr>
                  <w:rFonts w:ascii="Arial" w:cs="Arial" w:eastAsia="Arial" w:hAnsi="Arial"/>
                  <w:sz w:val="16"/>
                  <w:szCs w:val="16"/>
                  <w:color w:val="0000EE"/>
                </w:rPr>
                <w:t>Board Committees</w:t>
              </w:r>
            </w:hyperlink>
          </w:p>
        </w:tc>
        <w:tc>
          <w:tcPr>
            <w:tcW w:w="4400" w:type="dxa"/>
            <w:vAlign w:val="bottom"/>
            <w:gridSpan w:val="1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0">
              <w:r>
                <w:rPr>
                  <w:rFonts w:ascii="Arial" w:cs="Arial" w:eastAsia="Arial" w:hAnsi="Arial"/>
                  <w:sz w:val="16"/>
                  <w:szCs w:val="16"/>
                  <w:color w:val="0000EE"/>
                </w:rPr>
                <w:t>16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080" w:type="dxa"/>
            <w:vAlign w:val="bottom"/>
            <w:gridSpan w:val="2"/>
          </w:tcPr>
          <w:p>
            <w:pPr>
              <w:spacing w:after="0" w:line="170" w:lineRule="exact"/>
              <w:rPr>
                <w:rFonts w:ascii="Arial" w:cs="Arial" w:eastAsia="Arial" w:hAnsi="Arial"/>
                <w:sz w:val="16"/>
                <w:szCs w:val="16"/>
                <w:color w:val="0000EE"/>
              </w:rPr>
            </w:pPr>
            <w:hyperlink w:anchor="page32">
              <w:r>
                <w:rPr>
                  <w:rFonts w:ascii="Arial" w:cs="Arial" w:eastAsia="Arial" w:hAnsi="Arial"/>
                  <w:sz w:val="16"/>
                  <w:szCs w:val="16"/>
                  <w:color w:val="0000EE"/>
                </w:rPr>
                <w:t>Code of Ethics</w:t>
              </w:r>
            </w:hyperlink>
          </w:p>
        </w:tc>
        <w:tc>
          <w:tcPr>
            <w:tcW w:w="280" w:type="dxa"/>
            <w:vAlign w:val="bottom"/>
            <w:gridSpan w:val="2"/>
          </w:tcPr>
          <w:p>
            <w:pPr>
              <w:spacing w:after="0"/>
              <w:rPr>
                <w:sz w:val="14"/>
                <w:szCs w:val="14"/>
                <w:color w:val="auto"/>
              </w:rPr>
            </w:pPr>
          </w:p>
        </w:tc>
        <w:tc>
          <w:tcPr>
            <w:tcW w:w="6260" w:type="dxa"/>
            <w:vAlign w:val="bottom"/>
            <w:gridSpan w:val="27"/>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2">
              <w:r>
                <w:rPr>
                  <w:rFonts w:ascii="Arial" w:cs="Arial" w:eastAsia="Arial" w:hAnsi="Arial"/>
                  <w:sz w:val="16"/>
                  <w:szCs w:val="16"/>
                  <w:color w:val="0000EE"/>
                </w:rPr>
                <w:t>18</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680" w:type="dxa"/>
            <w:vAlign w:val="bottom"/>
            <w:gridSpan w:val="7"/>
          </w:tcPr>
          <w:p>
            <w:pPr>
              <w:spacing w:after="0" w:line="170" w:lineRule="exact"/>
              <w:rPr>
                <w:rFonts w:ascii="Arial" w:cs="Arial" w:eastAsia="Arial" w:hAnsi="Arial"/>
                <w:sz w:val="16"/>
                <w:szCs w:val="16"/>
                <w:color w:val="0000EE"/>
              </w:rPr>
            </w:pPr>
            <w:hyperlink w:anchor="page33">
              <w:r>
                <w:rPr>
                  <w:rFonts w:ascii="Arial" w:cs="Arial" w:eastAsia="Arial" w:hAnsi="Arial"/>
                  <w:sz w:val="16"/>
                  <w:szCs w:val="16"/>
                  <w:color w:val="0000EE"/>
                </w:rPr>
                <w:t>Director Independence</w:t>
              </w:r>
            </w:hyperlink>
          </w:p>
        </w:tc>
        <w:tc>
          <w:tcPr>
            <w:tcW w:w="5940" w:type="dxa"/>
            <w:vAlign w:val="bottom"/>
            <w:gridSpan w:val="24"/>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3">
              <w:r>
                <w:rPr>
                  <w:rFonts w:ascii="Arial" w:cs="Arial" w:eastAsia="Arial" w:hAnsi="Arial"/>
                  <w:sz w:val="16"/>
                  <w:szCs w:val="16"/>
                  <w:color w:val="0000EE"/>
                </w:rPr>
                <w:t>19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40" w:type="dxa"/>
            <w:vAlign w:val="bottom"/>
            <w:gridSpan w:val="19"/>
          </w:tcPr>
          <w:p>
            <w:pPr>
              <w:spacing w:after="0" w:line="170" w:lineRule="exact"/>
              <w:rPr>
                <w:rFonts w:ascii="Arial" w:cs="Arial" w:eastAsia="Arial" w:hAnsi="Arial"/>
                <w:sz w:val="16"/>
                <w:szCs w:val="16"/>
                <w:color w:val="0000EE"/>
                <w:w w:val="99"/>
              </w:rPr>
            </w:pPr>
            <w:hyperlink w:anchor="page33">
              <w:r>
                <w:rPr>
                  <w:rFonts w:ascii="Arial" w:cs="Arial" w:eastAsia="Arial" w:hAnsi="Arial"/>
                  <w:sz w:val="16"/>
                  <w:szCs w:val="16"/>
                  <w:color w:val="0000EE"/>
                  <w:w w:val="99"/>
                </w:rPr>
                <w:t>Board Leadership and Role in Risk Oversight</w:t>
              </w:r>
            </w:hyperlink>
          </w:p>
        </w:tc>
        <w:tc>
          <w:tcPr>
            <w:tcW w:w="4380" w:type="dxa"/>
            <w:vAlign w:val="bottom"/>
            <w:gridSpan w:val="12"/>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3">
              <w:r>
                <w:rPr>
                  <w:rFonts w:ascii="Arial" w:cs="Arial" w:eastAsia="Arial" w:hAnsi="Arial"/>
                  <w:sz w:val="16"/>
                  <w:szCs w:val="16"/>
                  <w:color w:val="0000EE"/>
                </w:rPr>
                <w:t>19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40" w:type="dxa"/>
            <w:vAlign w:val="bottom"/>
            <w:gridSpan w:val="19"/>
          </w:tcPr>
          <w:p>
            <w:pPr>
              <w:spacing w:after="0" w:line="170" w:lineRule="exact"/>
              <w:rPr>
                <w:rFonts w:ascii="Arial" w:cs="Arial" w:eastAsia="Arial" w:hAnsi="Arial"/>
                <w:sz w:val="16"/>
                <w:szCs w:val="16"/>
                <w:color w:val="0000EE"/>
              </w:rPr>
            </w:pPr>
            <w:hyperlink w:anchor="page33">
              <w:r>
                <w:rPr>
                  <w:rFonts w:ascii="Arial" w:cs="Arial" w:eastAsia="Arial" w:hAnsi="Arial"/>
                  <w:sz w:val="16"/>
                  <w:szCs w:val="16"/>
                  <w:color w:val="0000EE"/>
                </w:rPr>
                <w:t>Board Meetings and Attendance of Directors</w:t>
              </w:r>
            </w:hyperlink>
          </w:p>
        </w:tc>
        <w:tc>
          <w:tcPr>
            <w:tcW w:w="4380" w:type="dxa"/>
            <w:vAlign w:val="bottom"/>
            <w:gridSpan w:val="12"/>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3">
              <w:r>
                <w:rPr>
                  <w:rFonts w:ascii="Arial" w:cs="Arial" w:eastAsia="Arial" w:hAnsi="Arial"/>
                  <w:sz w:val="16"/>
                  <w:szCs w:val="16"/>
                  <w:color w:val="0000EE"/>
                </w:rPr>
                <w:t>19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6480" w:type="dxa"/>
            <w:vAlign w:val="bottom"/>
            <w:gridSpan w:val="26"/>
          </w:tcPr>
          <w:p>
            <w:pPr>
              <w:spacing w:after="0" w:line="170" w:lineRule="exact"/>
              <w:rPr>
                <w:rFonts w:ascii="Arial" w:cs="Arial" w:eastAsia="Arial" w:hAnsi="Arial"/>
                <w:sz w:val="16"/>
                <w:szCs w:val="16"/>
                <w:color w:val="0000EE"/>
              </w:rPr>
            </w:pPr>
            <w:hyperlink w:anchor="page33">
              <w:r>
                <w:rPr>
                  <w:rFonts w:ascii="Arial" w:cs="Arial" w:eastAsia="Arial" w:hAnsi="Arial"/>
                  <w:sz w:val="16"/>
                  <w:szCs w:val="16"/>
                  <w:color w:val="0000EE"/>
                </w:rPr>
                <w:t>Executive Compensation Processes and Procedures; Role of Compensation Consultants</w:t>
              </w:r>
            </w:hyperlink>
          </w:p>
        </w:tc>
        <w:tc>
          <w:tcPr>
            <w:tcW w:w="1140" w:type="dxa"/>
            <w:vAlign w:val="bottom"/>
            <w:gridSpan w:val="5"/>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3">
              <w:r>
                <w:rPr>
                  <w:rFonts w:ascii="Arial" w:cs="Arial" w:eastAsia="Arial" w:hAnsi="Arial"/>
                  <w:sz w:val="16"/>
                  <w:szCs w:val="16"/>
                  <w:color w:val="0000EE"/>
                </w:rPr>
                <w:t>19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900" w:type="dxa"/>
            <w:vAlign w:val="bottom"/>
            <w:gridSpan w:val="9"/>
          </w:tcPr>
          <w:p>
            <w:pPr>
              <w:spacing w:after="0" w:line="170" w:lineRule="exact"/>
              <w:rPr>
                <w:rFonts w:ascii="Arial" w:cs="Arial" w:eastAsia="Arial" w:hAnsi="Arial"/>
                <w:sz w:val="16"/>
                <w:szCs w:val="16"/>
                <w:color w:val="0000EE"/>
                <w:w w:val="98"/>
              </w:rPr>
            </w:pPr>
            <w:hyperlink w:anchor="page34">
              <w:r>
                <w:rPr>
                  <w:rFonts w:ascii="Arial" w:cs="Arial" w:eastAsia="Arial" w:hAnsi="Arial"/>
                  <w:sz w:val="16"/>
                  <w:szCs w:val="16"/>
                  <w:color w:val="0000EE"/>
                  <w:w w:val="98"/>
                </w:rPr>
                <w:t>Compensation of Directors</w:t>
              </w:r>
            </w:hyperlink>
          </w:p>
        </w:tc>
        <w:tc>
          <w:tcPr>
            <w:tcW w:w="4580" w:type="dxa"/>
            <w:vAlign w:val="bottom"/>
            <w:gridSpan w:val="17"/>
          </w:tcPr>
          <w:p>
            <w:pPr>
              <w:spacing w:after="0"/>
              <w:rPr>
                <w:sz w:val="14"/>
                <w:szCs w:val="14"/>
                <w:color w:val="auto"/>
              </w:rPr>
            </w:pPr>
          </w:p>
        </w:tc>
        <w:tc>
          <w:tcPr>
            <w:tcW w:w="1140" w:type="dxa"/>
            <w:vAlign w:val="bottom"/>
            <w:gridSpan w:val="5"/>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4">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2740" w:type="dxa"/>
            <w:vAlign w:val="bottom"/>
            <w:gridSpan w:val="13"/>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Executive Officers of the Company</w:t>
              </w:r>
            </w:hyperlink>
          </w:p>
        </w:tc>
        <w:tc>
          <w:tcPr>
            <w:tcW w:w="4880" w:type="dxa"/>
            <w:vAlign w:val="bottom"/>
            <w:gridSpan w:val="18"/>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23</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1"/>
          </w:tcPr>
          <w:p>
            <w:pPr>
              <w:spacing w:after="0"/>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Security Ownership of Certain Beneficial Owners and Management</w:t>
              </w:r>
            </w:hyperlink>
          </w:p>
        </w:tc>
        <w:tc>
          <w:tcPr>
            <w:tcW w:w="1520" w:type="dxa"/>
            <w:vAlign w:val="bottom"/>
            <w:gridSpan w:val="3"/>
          </w:tcPr>
          <w:p>
            <w:pPr>
              <w:jc w:val="right"/>
              <w:spacing w:after="0"/>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25</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5220" w:type="dxa"/>
            <w:vAlign w:val="bottom"/>
            <w:gridSpan w:val="24"/>
          </w:tcPr>
          <w:p>
            <w:pPr>
              <w:spacing w:after="0"/>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Section 16(a) Beneficial Ownership Reporting Compliance</w:t>
              </w:r>
            </w:hyperlink>
          </w:p>
        </w:tc>
        <w:tc>
          <w:tcPr>
            <w:tcW w:w="2400" w:type="dxa"/>
            <w:vAlign w:val="bottom"/>
            <w:gridSpan w:val="7"/>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29</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3680" w:type="dxa"/>
            <w:vAlign w:val="bottom"/>
            <w:gridSpan w:val="20"/>
          </w:tcPr>
          <w:p>
            <w:pPr>
              <w:spacing w:after="0"/>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Certain Relationships and Related Transactions</w:t>
              </w:r>
            </w:hyperlink>
          </w:p>
        </w:tc>
        <w:tc>
          <w:tcPr>
            <w:tcW w:w="860" w:type="dxa"/>
            <w:vAlign w:val="bottom"/>
            <w:gridSpan w:val="2"/>
          </w:tcPr>
          <w:p>
            <w:pPr>
              <w:spacing w:after="0"/>
              <w:rPr>
                <w:sz w:val="24"/>
                <w:szCs w:val="24"/>
                <w:color w:val="auto"/>
              </w:rPr>
            </w:pPr>
          </w:p>
        </w:tc>
        <w:tc>
          <w:tcPr>
            <w:tcW w:w="3080" w:type="dxa"/>
            <w:vAlign w:val="bottom"/>
            <w:gridSpan w:val="9"/>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30</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5140" w:type="dxa"/>
            <w:vAlign w:val="bottom"/>
            <w:gridSpan w:val="23"/>
          </w:tcPr>
          <w:p>
            <w:pPr>
              <w:spacing w:after="0" w:line="170" w:lineRule="exact"/>
              <w:rPr>
                <w:rFonts w:ascii="Arial" w:cs="Arial" w:eastAsia="Arial" w:hAnsi="Arial"/>
                <w:sz w:val="16"/>
                <w:szCs w:val="16"/>
                <w:color w:val="0000EE"/>
              </w:rPr>
            </w:pPr>
            <w:hyperlink w:anchor="page44">
              <w:r>
                <w:rPr>
                  <w:rFonts w:ascii="Arial" w:cs="Arial" w:eastAsia="Arial" w:hAnsi="Arial"/>
                  <w:sz w:val="16"/>
                  <w:szCs w:val="16"/>
                  <w:color w:val="0000EE"/>
                </w:rPr>
                <w:t>Review, Approval, or Ratification of Transactions with Related Persons</w:t>
              </w:r>
            </w:hyperlink>
          </w:p>
        </w:tc>
        <w:tc>
          <w:tcPr>
            <w:tcW w:w="2480" w:type="dxa"/>
            <w:vAlign w:val="bottom"/>
            <w:gridSpan w:val="8"/>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4">
              <w:r>
                <w:rPr>
                  <w:rFonts w:ascii="Arial" w:cs="Arial" w:eastAsia="Arial" w:hAnsi="Arial"/>
                  <w:sz w:val="16"/>
                  <w:szCs w:val="16"/>
                  <w:color w:val="0000EE"/>
                </w:rPr>
                <w:t>30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5140" w:type="dxa"/>
            <w:vAlign w:val="bottom"/>
            <w:gridSpan w:val="23"/>
          </w:tcPr>
          <w:p>
            <w:pPr>
              <w:spacing w:after="0" w:line="170" w:lineRule="exact"/>
              <w:rPr>
                <w:rFonts w:ascii="Arial" w:cs="Arial" w:eastAsia="Arial" w:hAnsi="Arial"/>
                <w:sz w:val="16"/>
                <w:szCs w:val="16"/>
                <w:color w:val="0000EE"/>
              </w:rPr>
            </w:pPr>
            <w:hyperlink w:anchor="page44">
              <w:r>
                <w:rPr>
                  <w:rFonts w:ascii="Arial" w:cs="Arial" w:eastAsia="Arial" w:hAnsi="Arial"/>
                  <w:sz w:val="16"/>
                  <w:szCs w:val="16"/>
                  <w:color w:val="0000EE"/>
                </w:rPr>
                <w:t>Transactions with Related Persons</w:t>
              </w:r>
            </w:hyperlink>
          </w:p>
        </w:tc>
        <w:tc>
          <w:tcPr>
            <w:tcW w:w="2480" w:type="dxa"/>
            <w:vAlign w:val="bottom"/>
            <w:gridSpan w:val="8"/>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4">
              <w:r>
                <w:rPr>
                  <w:rFonts w:ascii="Arial" w:cs="Arial" w:eastAsia="Arial" w:hAnsi="Arial"/>
                  <w:sz w:val="16"/>
                  <w:szCs w:val="16"/>
                  <w:color w:val="0000EE"/>
                </w:rPr>
                <w:t>30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1"/>
          </w:tcPr>
          <w:p>
            <w:pPr>
              <w:spacing w:after="0"/>
              <w:rPr>
                <w:rFonts w:ascii="Arial" w:cs="Arial" w:eastAsia="Arial" w:hAnsi="Arial"/>
                <w:sz w:val="16"/>
                <w:szCs w:val="16"/>
                <w:b w:val="1"/>
                <w:bCs w:val="1"/>
                <w:color w:val="5668B0"/>
              </w:rPr>
            </w:pPr>
            <w:hyperlink w:anchor="page47">
              <w:r>
                <w:rPr>
                  <w:rFonts w:ascii="Arial" w:cs="Arial" w:eastAsia="Arial" w:hAnsi="Arial"/>
                  <w:sz w:val="16"/>
                  <w:szCs w:val="16"/>
                  <w:b w:val="1"/>
                  <w:bCs w:val="1"/>
                  <w:color w:val="5668B0"/>
                </w:rPr>
                <w:t>Proposal No. 2: Ratification of Appointment of Independent Registered Public Accounting Firm</w:t>
              </w:r>
            </w:hyperlink>
          </w:p>
        </w:tc>
        <w:tc>
          <w:tcPr>
            <w:tcW w:w="1520" w:type="dxa"/>
            <w:vAlign w:val="bottom"/>
            <w:gridSpan w:val="3"/>
          </w:tcPr>
          <w:p>
            <w:pPr>
              <w:jc w:val="right"/>
              <w:spacing w:after="0"/>
              <w:rPr>
                <w:rFonts w:ascii="Arial" w:cs="Arial" w:eastAsia="Arial" w:hAnsi="Arial"/>
                <w:sz w:val="16"/>
                <w:szCs w:val="16"/>
                <w:b w:val="1"/>
                <w:bCs w:val="1"/>
                <w:color w:val="5668B0"/>
              </w:rPr>
            </w:pPr>
            <w:hyperlink w:anchor="page47">
              <w:r>
                <w:rPr>
                  <w:rFonts w:ascii="Arial" w:cs="Arial" w:eastAsia="Arial" w:hAnsi="Arial"/>
                  <w:sz w:val="16"/>
                  <w:szCs w:val="16"/>
                  <w:b w:val="1"/>
                  <w:bCs w:val="1"/>
                  <w:color w:val="5668B0"/>
                </w:rPr>
                <w:t>33</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5668B0"/>
              <w:bottom w:val="single" w:sz="8" w:color="5668B0"/>
            </w:tcBorders>
          </w:tcPr>
          <w:p>
            <w:pPr>
              <w:spacing w:after="0" w:line="20" w:lineRule="exact"/>
              <w:rPr>
                <w:sz w:val="1"/>
                <w:szCs w:val="1"/>
                <w:color w:val="auto"/>
              </w:rPr>
            </w:pPr>
          </w:p>
        </w:tc>
        <w:tc>
          <w:tcPr>
            <w:tcW w:w="38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2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Borders>
              <w:top w:val="single" w:sz="8" w:color="5668B0"/>
              <w:bottom w:val="single" w:sz="8" w:color="5668B0"/>
            </w:tcBorders>
          </w:tcPr>
          <w:p>
            <w:pPr>
              <w:spacing w:after="0" w:line="20" w:lineRule="exact"/>
              <w:rPr>
                <w:sz w:val="1"/>
                <w:szCs w:val="1"/>
                <w:color w:val="auto"/>
              </w:rPr>
            </w:pPr>
          </w:p>
        </w:tc>
        <w:tc>
          <w:tcPr>
            <w:tcW w:w="16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top w:val="single" w:sz="8" w:color="5668B0"/>
              <w:bottom w:val="single" w:sz="8" w:color="5668B0"/>
            </w:tcBorders>
          </w:tcPr>
          <w:p>
            <w:pPr>
              <w:spacing w:after="0" w:line="20" w:lineRule="exact"/>
              <w:rPr>
                <w:sz w:val="1"/>
                <w:szCs w:val="1"/>
                <w:color w:val="auto"/>
              </w:rPr>
            </w:pPr>
          </w:p>
        </w:tc>
        <w:tc>
          <w:tcPr>
            <w:tcW w:w="36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20" w:type="dxa"/>
            <w:vAlign w:val="bottom"/>
            <w:tcBorders>
              <w:top w:val="single" w:sz="8" w:color="5668B0"/>
              <w:bottom w:val="single" w:sz="8" w:color="5668B0"/>
            </w:tcBorders>
          </w:tcPr>
          <w:p>
            <w:pPr>
              <w:spacing w:after="0" w:line="20" w:lineRule="exact"/>
              <w:rPr>
                <w:sz w:val="1"/>
                <w:szCs w:val="1"/>
                <w:color w:val="auto"/>
              </w:rPr>
            </w:pPr>
          </w:p>
        </w:tc>
        <w:tc>
          <w:tcPr>
            <w:tcW w:w="440" w:type="dxa"/>
            <w:vAlign w:val="bottom"/>
            <w:tcBorders>
              <w:top w:val="single" w:sz="8" w:color="5668B0"/>
              <w:bottom w:val="single" w:sz="8" w:color="5668B0"/>
            </w:tcBorders>
          </w:tcPr>
          <w:p>
            <w:pPr>
              <w:spacing w:after="0" w:line="20" w:lineRule="exact"/>
              <w:rPr>
                <w:sz w:val="1"/>
                <w:szCs w:val="1"/>
                <w:color w:val="auto"/>
              </w:rPr>
            </w:pPr>
          </w:p>
        </w:tc>
        <w:tc>
          <w:tcPr>
            <w:tcW w:w="220" w:type="dxa"/>
            <w:vAlign w:val="bottom"/>
            <w:tcBorders>
              <w:top w:val="single" w:sz="8" w:color="5668B0"/>
              <w:bottom w:val="single" w:sz="8" w:color="5668B0"/>
            </w:tcBorders>
          </w:tcPr>
          <w:p>
            <w:pPr>
              <w:spacing w:after="0" w:line="20" w:lineRule="exact"/>
              <w:rPr>
                <w:sz w:val="1"/>
                <w:szCs w:val="1"/>
                <w:color w:val="auto"/>
              </w:rPr>
            </w:pPr>
          </w:p>
        </w:tc>
        <w:tc>
          <w:tcPr>
            <w:tcW w:w="640" w:type="dxa"/>
            <w:vAlign w:val="bottom"/>
            <w:tcBorders>
              <w:top w:val="single" w:sz="8" w:color="5668B0"/>
              <w:bottom w:val="single" w:sz="8" w:color="5668B0"/>
            </w:tcBorders>
          </w:tcPr>
          <w:p>
            <w:pPr>
              <w:spacing w:after="0" w:line="20" w:lineRule="exact"/>
              <w:rPr>
                <w:sz w:val="1"/>
                <w:szCs w:val="1"/>
                <w:color w:val="auto"/>
              </w:rPr>
            </w:pPr>
          </w:p>
        </w:tc>
        <w:tc>
          <w:tcPr>
            <w:tcW w:w="60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560" w:type="dxa"/>
            <w:vAlign w:val="bottom"/>
            <w:tcBorders>
              <w:top w:val="single" w:sz="8" w:color="5668B0"/>
              <w:bottom w:val="single" w:sz="8" w:color="5668B0"/>
            </w:tcBorders>
          </w:tcPr>
          <w:p>
            <w:pPr>
              <w:spacing w:after="0" w:line="20" w:lineRule="exact"/>
              <w:rPr>
                <w:sz w:val="1"/>
                <w:szCs w:val="1"/>
                <w:color w:val="auto"/>
              </w:rPr>
            </w:pPr>
          </w:p>
        </w:tc>
        <w:tc>
          <w:tcPr>
            <w:tcW w:w="700" w:type="dxa"/>
            <w:vAlign w:val="bottom"/>
            <w:tcBorders>
              <w:top w:val="single" w:sz="8" w:color="5668B0"/>
              <w:bottom w:val="single" w:sz="8" w:color="5668B0"/>
            </w:tcBorders>
          </w:tcPr>
          <w:p>
            <w:pPr>
              <w:spacing w:after="0" w:line="20" w:lineRule="exact"/>
              <w:rPr>
                <w:sz w:val="1"/>
                <w:szCs w:val="1"/>
                <w:color w:val="auto"/>
              </w:rPr>
            </w:pPr>
          </w:p>
        </w:tc>
        <w:tc>
          <w:tcPr>
            <w:tcW w:w="220" w:type="dxa"/>
            <w:vAlign w:val="bottom"/>
            <w:tcBorders>
              <w:top w:val="single" w:sz="8" w:color="5668B0"/>
              <w:bottom w:val="single" w:sz="8" w:color="5668B0"/>
            </w:tcBorders>
          </w:tcPr>
          <w:p>
            <w:pPr>
              <w:spacing w:after="0" w:line="20" w:lineRule="exact"/>
              <w:rPr>
                <w:sz w:val="1"/>
                <w:szCs w:val="1"/>
                <w:color w:val="auto"/>
              </w:rPr>
            </w:pPr>
          </w:p>
        </w:tc>
        <w:tc>
          <w:tcPr>
            <w:tcW w:w="36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24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340" w:type="dxa"/>
            <w:vAlign w:val="bottom"/>
            <w:tcBorders>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7620" w:type="dxa"/>
            <w:vAlign w:val="bottom"/>
            <w:gridSpan w:val="31"/>
          </w:tcPr>
          <w:p>
            <w:pPr>
              <w:spacing w:after="0" w:line="142" w:lineRule="exact"/>
              <w:rPr>
                <w:rFonts w:ascii="Arial" w:cs="Arial" w:eastAsia="Arial" w:hAnsi="Arial"/>
                <w:sz w:val="16"/>
                <w:szCs w:val="16"/>
                <w:color w:val="0000EE"/>
              </w:rPr>
            </w:pPr>
            <w:hyperlink w:anchor="page47">
              <w:r>
                <w:rPr>
                  <w:rFonts w:ascii="Arial" w:cs="Arial" w:eastAsia="Arial" w:hAnsi="Arial"/>
                  <w:sz w:val="16"/>
                  <w:szCs w:val="16"/>
                  <w:color w:val="0000EE"/>
                </w:rPr>
                <w:t>Information about Fees Paid to Independent Registered Public Accounting Firm</w:t>
              </w:r>
            </w:hyperlink>
          </w:p>
        </w:tc>
        <w:tc>
          <w:tcPr>
            <w:tcW w:w="1520" w:type="dxa"/>
            <w:vAlign w:val="bottom"/>
            <w:gridSpan w:val="3"/>
          </w:tcPr>
          <w:p>
            <w:pPr>
              <w:jc w:val="right"/>
              <w:spacing w:after="0" w:line="142" w:lineRule="exact"/>
              <w:rPr>
                <w:rFonts w:ascii="Arial" w:cs="Arial" w:eastAsia="Arial" w:hAnsi="Arial"/>
                <w:sz w:val="16"/>
                <w:szCs w:val="16"/>
                <w:color w:val="0000EE"/>
              </w:rPr>
            </w:pPr>
            <w:hyperlink w:anchor="page47">
              <w:r>
                <w:rPr>
                  <w:rFonts w:ascii="Arial" w:cs="Arial" w:eastAsia="Arial" w:hAnsi="Arial"/>
                  <w:sz w:val="16"/>
                  <w:szCs w:val="16"/>
                  <w:color w:val="0000EE"/>
                </w:rPr>
                <w:t>33</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1900" w:type="dxa"/>
            <w:vAlign w:val="bottom"/>
            <w:gridSpan w:val="9"/>
          </w:tcPr>
          <w:p>
            <w:pPr>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Audit Committee Report</w:t>
              </w:r>
            </w:hyperlink>
          </w:p>
        </w:tc>
        <w:tc>
          <w:tcPr>
            <w:tcW w:w="3880" w:type="dxa"/>
            <w:vAlign w:val="bottom"/>
            <w:gridSpan w:val="16"/>
          </w:tcPr>
          <w:p>
            <w:pPr>
              <w:spacing w:after="0"/>
              <w:rPr>
                <w:sz w:val="24"/>
                <w:szCs w:val="24"/>
                <w:color w:val="auto"/>
              </w:rPr>
            </w:pPr>
          </w:p>
        </w:tc>
        <w:tc>
          <w:tcPr>
            <w:tcW w:w="1840" w:type="dxa"/>
            <w:vAlign w:val="bottom"/>
            <w:gridSpan w:val="6"/>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34</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1"/>
          </w:tcPr>
          <w:p>
            <w:pPr>
              <w:spacing w:after="0"/>
              <w:rPr>
                <w:rFonts w:ascii="Arial" w:cs="Arial" w:eastAsia="Arial" w:hAnsi="Arial"/>
                <w:sz w:val="16"/>
                <w:szCs w:val="16"/>
                <w:b w:val="1"/>
                <w:bCs w:val="1"/>
                <w:color w:val="5668B0"/>
              </w:rPr>
            </w:pPr>
            <w:hyperlink w:anchor="page49">
              <w:r>
                <w:rPr>
                  <w:rFonts w:ascii="Arial" w:cs="Arial" w:eastAsia="Arial" w:hAnsi="Arial"/>
                  <w:sz w:val="16"/>
                  <w:szCs w:val="16"/>
                  <w:b w:val="1"/>
                  <w:bCs w:val="1"/>
                  <w:color w:val="5668B0"/>
                </w:rPr>
                <w:t>Executive Compensation</w:t>
              </w:r>
            </w:hyperlink>
          </w:p>
        </w:tc>
        <w:tc>
          <w:tcPr>
            <w:tcW w:w="1520" w:type="dxa"/>
            <w:vAlign w:val="bottom"/>
            <w:gridSpan w:val="3"/>
          </w:tcPr>
          <w:p>
            <w:pPr>
              <w:jc w:val="right"/>
              <w:spacing w:after="0"/>
              <w:rPr>
                <w:rFonts w:ascii="Arial" w:cs="Arial" w:eastAsia="Arial" w:hAnsi="Arial"/>
                <w:sz w:val="16"/>
                <w:szCs w:val="16"/>
                <w:b w:val="1"/>
                <w:bCs w:val="1"/>
                <w:color w:val="5668B0"/>
              </w:rPr>
            </w:pPr>
            <w:hyperlink w:anchor="page49">
              <w:r>
                <w:rPr>
                  <w:rFonts w:ascii="Arial" w:cs="Arial" w:eastAsia="Arial" w:hAnsi="Arial"/>
                  <w:sz w:val="16"/>
                  <w:szCs w:val="16"/>
                  <w:b w:val="1"/>
                  <w:bCs w:val="1"/>
                  <w:color w:val="5668B0"/>
                </w:rPr>
                <w:t>35</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5668B0"/>
              <w:bottom w:val="single" w:sz="8" w:color="5668B0"/>
            </w:tcBorders>
          </w:tcPr>
          <w:p>
            <w:pPr>
              <w:spacing w:after="0" w:line="20" w:lineRule="exact"/>
              <w:rPr>
                <w:sz w:val="1"/>
                <w:szCs w:val="1"/>
                <w:color w:val="auto"/>
              </w:rPr>
            </w:pPr>
          </w:p>
        </w:tc>
        <w:tc>
          <w:tcPr>
            <w:tcW w:w="38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2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Borders>
              <w:top w:val="single" w:sz="8" w:color="5668B0"/>
              <w:bottom w:val="single" w:sz="8" w:color="5668B0"/>
            </w:tcBorders>
          </w:tcPr>
          <w:p>
            <w:pPr>
              <w:spacing w:after="0" w:line="20" w:lineRule="exact"/>
              <w:rPr>
                <w:sz w:val="1"/>
                <w:szCs w:val="1"/>
                <w:color w:val="auto"/>
              </w:rPr>
            </w:pPr>
          </w:p>
        </w:tc>
        <w:tc>
          <w:tcPr>
            <w:tcW w:w="160" w:type="dxa"/>
            <w:vAlign w:val="bottom"/>
            <w:tcBorders>
              <w:top w:val="single" w:sz="8" w:color="5668B0"/>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36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 w:type="dxa"/>
            <w:vAlign w:val="bottom"/>
            <w:tcBorders>
              <w:bottom w:val="single" w:sz="8" w:color="5668B0"/>
            </w:tcBorders>
          </w:tcPr>
          <w:p>
            <w:pPr>
              <w:spacing w:after="0" w:line="20" w:lineRule="exact"/>
              <w:rPr>
                <w:sz w:val="1"/>
                <w:szCs w:val="1"/>
                <w:color w:val="auto"/>
              </w:rPr>
            </w:pPr>
          </w:p>
        </w:tc>
        <w:tc>
          <w:tcPr>
            <w:tcW w:w="44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640" w:type="dxa"/>
            <w:vAlign w:val="bottom"/>
            <w:tcBorders>
              <w:bottom w:val="single" w:sz="8" w:color="5668B0"/>
            </w:tcBorders>
          </w:tcPr>
          <w:p>
            <w:pPr>
              <w:spacing w:after="0" w:line="20" w:lineRule="exact"/>
              <w:rPr>
                <w:sz w:val="1"/>
                <w:szCs w:val="1"/>
                <w:color w:val="auto"/>
              </w:rPr>
            </w:pPr>
          </w:p>
        </w:tc>
        <w:tc>
          <w:tcPr>
            <w:tcW w:w="60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560" w:type="dxa"/>
            <w:vAlign w:val="bottom"/>
            <w:tcBorders>
              <w:bottom w:val="single" w:sz="8" w:color="5668B0"/>
            </w:tcBorders>
          </w:tcPr>
          <w:p>
            <w:pPr>
              <w:spacing w:after="0" w:line="20" w:lineRule="exact"/>
              <w:rPr>
                <w:sz w:val="1"/>
                <w:szCs w:val="1"/>
                <w:color w:val="auto"/>
              </w:rPr>
            </w:pPr>
          </w:p>
        </w:tc>
        <w:tc>
          <w:tcPr>
            <w:tcW w:w="70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36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24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340" w:type="dxa"/>
            <w:vAlign w:val="bottom"/>
            <w:tcBorders>
              <w:bottom w:val="single" w:sz="8" w:color="5668B0"/>
            </w:tcBorders>
          </w:tcPr>
          <w:p>
            <w:pPr>
              <w:spacing w:after="0" w:line="20" w:lineRule="exact"/>
              <w:rPr>
                <w:sz w:val="1"/>
                <w:szCs w:val="1"/>
                <w:color w:val="auto"/>
              </w:rPr>
            </w:pPr>
          </w:p>
        </w:tc>
        <w:tc>
          <w:tcPr>
            <w:tcW w:w="10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3140" w:type="dxa"/>
            <w:vAlign w:val="bottom"/>
            <w:gridSpan w:val="17"/>
          </w:tcPr>
          <w:p>
            <w:pPr>
              <w:spacing w:after="0" w:line="142" w:lineRule="exact"/>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Compensation Discussion and Analysis</w:t>
              </w:r>
            </w:hyperlink>
          </w:p>
        </w:tc>
        <w:tc>
          <w:tcPr>
            <w:tcW w:w="4480" w:type="dxa"/>
            <w:vAlign w:val="bottom"/>
            <w:gridSpan w:val="14"/>
          </w:tcPr>
          <w:p>
            <w:pPr>
              <w:spacing w:after="0"/>
              <w:rPr>
                <w:sz w:val="12"/>
                <w:szCs w:val="12"/>
                <w:color w:val="auto"/>
              </w:rPr>
            </w:pPr>
          </w:p>
        </w:tc>
        <w:tc>
          <w:tcPr>
            <w:tcW w:w="1520" w:type="dxa"/>
            <w:vAlign w:val="bottom"/>
            <w:gridSpan w:val="3"/>
          </w:tcPr>
          <w:p>
            <w:pPr>
              <w:jc w:val="right"/>
              <w:spacing w:after="0" w:line="142" w:lineRule="exact"/>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35</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1680" w:type="dxa"/>
            <w:vAlign w:val="bottom"/>
            <w:gridSpan w:val="7"/>
          </w:tcPr>
          <w:p>
            <w:pPr>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Section 1 – Summary</w:t>
              </w:r>
            </w:hyperlink>
          </w:p>
        </w:tc>
        <w:tc>
          <w:tcPr>
            <w:tcW w:w="1460" w:type="dxa"/>
            <w:vAlign w:val="bottom"/>
            <w:gridSpan w:val="10"/>
          </w:tcPr>
          <w:p>
            <w:pPr>
              <w:spacing w:after="0"/>
              <w:rPr>
                <w:sz w:val="24"/>
                <w:szCs w:val="24"/>
                <w:color w:val="auto"/>
              </w:rPr>
            </w:pPr>
          </w:p>
        </w:tc>
        <w:tc>
          <w:tcPr>
            <w:tcW w:w="4480" w:type="dxa"/>
            <w:vAlign w:val="bottom"/>
            <w:gridSpan w:val="14"/>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35</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2100" w:type="dxa"/>
            <w:vAlign w:val="bottom"/>
            <w:gridSpan w:val="10"/>
          </w:tcPr>
          <w:p>
            <w:pPr>
              <w:spacing w:after="0" w:line="170" w:lineRule="exact"/>
              <w:rPr>
                <w:rFonts w:ascii="Arial" w:cs="Arial" w:eastAsia="Arial" w:hAnsi="Arial"/>
                <w:sz w:val="16"/>
                <w:szCs w:val="16"/>
                <w:color w:val="0000EE"/>
              </w:rPr>
            </w:pPr>
            <w:hyperlink w:anchor="page49">
              <w:r>
                <w:rPr>
                  <w:rFonts w:ascii="Arial" w:cs="Arial" w:eastAsia="Arial" w:hAnsi="Arial"/>
                  <w:sz w:val="16"/>
                  <w:szCs w:val="16"/>
                  <w:color w:val="0000EE"/>
                </w:rPr>
                <w:t>2015 Performance Overview</w:t>
              </w:r>
            </w:hyperlink>
          </w:p>
        </w:tc>
        <w:tc>
          <w:tcPr>
            <w:tcW w:w="5520" w:type="dxa"/>
            <w:vAlign w:val="bottom"/>
            <w:gridSpan w:val="21"/>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9">
              <w:r>
                <w:rPr>
                  <w:rFonts w:ascii="Arial" w:cs="Arial" w:eastAsia="Arial" w:hAnsi="Arial"/>
                  <w:sz w:val="16"/>
                  <w:szCs w:val="16"/>
                  <w:color w:val="0000EE"/>
                </w:rPr>
                <w:t>35</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2940" w:type="dxa"/>
            <w:vAlign w:val="bottom"/>
            <w:gridSpan w:val="15"/>
          </w:tcPr>
          <w:p>
            <w:pPr>
              <w:spacing w:after="0" w:line="170" w:lineRule="exact"/>
              <w:rPr>
                <w:rFonts w:ascii="Arial" w:cs="Arial" w:eastAsia="Arial" w:hAnsi="Arial"/>
                <w:sz w:val="16"/>
                <w:szCs w:val="16"/>
                <w:color w:val="0000EE"/>
              </w:rPr>
            </w:pPr>
            <w:hyperlink w:anchor="page51">
              <w:r>
                <w:rPr>
                  <w:rFonts w:ascii="Arial" w:cs="Arial" w:eastAsia="Arial" w:hAnsi="Arial"/>
                  <w:sz w:val="16"/>
                  <w:szCs w:val="16"/>
                  <w:color w:val="0000EE"/>
                </w:rPr>
                <w:t>Compensation Objectives and Elements</w:t>
              </w:r>
            </w:hyperlink>
          </w:p>
        </w:tc>
        <w:tc>
          <w:tcPr>
            <w:tcW w:w="4680" w:type="dxa"/>
            <w:vAlign w:val="bottom"/>
            <w:gridSpan w:val="16"/>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51">
              <w:r>
                <w:rPr>
                  <w:rFonts w:ascii="Arial" w:cs="Arial" w:eastAsia="Arial" w:hAnsi="Arial"/>
                  <w:sz w:val="16"/>
                  <w:szCs w:val="16"/>
                  <w:color w:val="0000EE"/>
                </w:rPr>
                <w:t>37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680" w:type="dxa"/>
            <w:vAlign w:val="bottom"/>
            <w:gridSpan w:val="20"/>
          </w:tcPr>
          <w:p>
            <w:pPr>
              <w:spacing w:after="0" w:line="170" w:lineRule="exact"/>
              <w:rPr>
                <w:rFonts w:ascii="Arial" w:cs="Arial" w:eastAsia="Arial" w:hAnsi="Arial"/>
                <w:sz w:val="16"/>
                <w:szCs w:val="16"/>
                <w:color w:val="0000EE"/>
              </w:rPr>
            </w:pPr>
            <w:hyperlink w:anchor="page53">
              <w:r>
                <w:rPr>
                  <w:rFonts w:ascii="Arial" w:cs="Arial" w:eastAsia="Arial" w:hAnsi="Arial"/>
                  <w:sz w:val="16"/>
                  <w:szCs w:val="16"/>
                  <w:color w:val="0000EE"/>
                </w:rPr>
                <w:t>Highlights of Compensation Policies and Practices</w:t>
              </w:r>
            </w:hyperlink>
          </w:p>
        </w:tc>
        <w:tc>
          <w:tcPr>
            <w:tcW w:w="3940" w:type="dxa"/>
            <w:vAlign w:val="bottom"/>
            <w:gridSpan w:val="11"/>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53">
              <w:r>
                <w:rPr>
                  <w:rFonts w:ascii="Arial" w:cs="Arial" w:eastAsia="Arial" w:hAnsi="Arial"/>
                  <w:sz w:val="16"/>
                  <w:szCs w:val="16"/>
                  <w:color w:val="0000EE"/>
                </w:rPr>
                <w:t>39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0" w:type="dxa"/>
            <w:vAlign w:val="bottom"/>
            <w:tcBorders>
              <w:right w:val="single" w:sz="8" w:color="0000EE"/>
            </w:tcBorders>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1"/>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Section 2 – Analysis of 2015 Executive Compensation Based on Compensation Objectives</w:t>
              </w:r>
            </w:hyperlink>
          </w:p>
        </w:tc>
        <w:tc>
          <w:tcPr>
            <w:tcW w:w="1520" w:type="dxa"/>
            <w:vAlign w:val="bottom"/>
            <w:gridSpan w:val="3"/>
          </w:tcPr>
          <w:p>
            <w:pPr>
              <w:jc w:val="right"/>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40</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0" w:type="dxa"/>
            <w:vAlign w:val="bottom"/>
            <w:tcBorders>
              <w:right w:val="single" w:sz="8" w:color="0000EE"/>
            </w:tcBorders>
            <w:gridSpan w:val="1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160" w:type="dxa"/>
            <w:vAlign w:val="bottom"/>
            <w:gridSpan w:val="7"/>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520" w:type="dxa"/>
            <w:vAlign w:val="bottom"/>
            <w:gridSpan w:val="6"/>
          </w:tcPr>
          <w:p>
            <w:pPr>
              <w:spacing w:after="0" w:line="170" w:lineRule="exact"/>
              <w:rPr>
                <w:rFonts w:ascii="Arial" w:cs="Arial" w:eastAsia="Arial" w:hAnsi="Arial"/>
                <w:sz w:val="16"/>
                <w:szCs w:val="16"/>
                <w:color w:val="0000EE"/>
              </w:rPr>
            </w:pPr>
            <w:hyperlink w:anchor="page54">
              <w:r>
                <w:rPr>
                  <w:rFonts w:ascii="Arial" w:cs="Arial" w:eastAsia="Arial" w:hAnsi="Arial"/>
                  <w:sz w:val="16"/>
                  <w:szCs w:val="16"/>
                  <w:color w:val="0000EE"/>
                </w:rPr>
                <w:t>Pay for Performance</w:t>
              </w:r>
            </w:hyperlink>
          </w:p>
        </w:tc>
        <w:tc>
          <w:tcPr>
            <w:tcW w:w="5540" w:type="dxa"/>
            <w:vAlign w:val="bottom"/>
            <w:gridSpan w:val="22"/>
          </w:tcPr>
          <w:p>
            <w:pPr>
              <w:spacing w:after="0"/>
              <w:rPr>
                <w:sz w:val="14"/>
                <w:szCs w:val="14"/>
                <w:color w:val="auto"/>
              </w:rPr>
            </w:pPr>
          </w:p>
        </w:tc>
        <w:tc>
          <w:tcPr>
            <w:tcW w:w="560" w:type="dxa"/>
            <w:vAlign w:val="bottom"/>
            <w:gridSpan w:val="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54">
              <w:r>
                <w:rPr>
                  <w:rFonts w:ascii="Arial" w:cs="Arial" w:eastAsia="Arial" w:hAnsi="Arial"/>
                  <w:sz w:val="16"/>
                  <w:szCs w:val="16"/>
                  <w:color w:val="0000EE"/>
                </w:rPr>
                <w:t>40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680" w:type="dxa"/>
            <w:vAlign w:val="bottom"/>
            <w:gridSpan w:val="7"/>
          </w:tcPr>
          <w:p>
            <w:pPr>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Shareholder Alignment</w:t>
              </w:r>
            </w:hyperlink>
          </w:p>
        </w:tc>
        <w:tc>
          <w:tcPr>
            <w:tcW w:w="5940" w:type="dxa"/>
            <w:vAlign w:val="bottom"/>
            <w:gridSpan w:val="24"/>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42</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200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1"/>
          </w:tcPr>
          <w:p>
            <w:pPr>
              <w:spacing w:after="0" w:line="170" w:lineRule="exact"/>
              <w:rPr>
                <w:rFonts w:ascii="Arial" w:cs="Arial" w:eastAsia="Arial" w:hAnsi="Arial"/>
                <w:sz w:val="16"/>
                <w:szCs w:val="16"/>
                <w:color w:val="0000EE"/>
              </w:rPr>
            </w:pPr>
            <w:hyperlink w:anchor="page59">
              <w:r>
                <w:rPr>
                  <w:rFonts w:ascii="Arial" w:cs="Arial" w:eastAsia="Arial" w:hAnsi="Arial"/>
                  <w:sz w:val="16"/>
                  <w:szCs w:val="16"/>
                  <w:color w:val="0000EE"/>
                </w:rPr>
                <w:t>Balance between Short- and Long-Term Perspectives</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59">
              <w:r>
                <w:rPr>
                  <w:rFonts w:ascii="Arial" w:cs="Arial" w:eastAsia="Arial" w:hAnsi="Arial"/>
                  <w:sz w:val="16"/>
                  <w:szCs w:val="16"/>
                  <w:color w:val="0000EE"/>
                </w:rPr>
                <w:t>45</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Borders>
              <w:right w:val="single" w:sz="8" w:color="0000EE"/>
            </w:tcBorders>
            <w:gridSpan w:val="20"/>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900" w:type="dxa"/>
            <w:vAlign w:val="bottom"/>
            <w:gridSpan w:val="21"/>
          </w:tcPr>
          <w:p>
            <w:pPr>
              <w:spacing w:after="0" w:line="170" w:lineRule="exact"/>
              <w:rPr>
                <w:rFonts w:ascii="Arial" w:cs="Arial" w:eastAsia="Arial" w:hAnsi="Arial"/>
                <w:sz w:val="16"/>
                <w:szCs w:val="16"/>
                <w:color w:val="0000EE"/>
              </w:rPr>
            </w:pPr>
            <w:hyperlink w:anchor="page62">
              <w:r>
                <w:rPr>
                  <w:rFonts w:ascii="Arial" w:cs="Arial" w:eastAsia="Arial" w:hAnsi="Arial"/>
                  <w:sz w:val="16"/>
                  <w:szCs w:val="16"/>
                  <w:color w:val="0000EE"/>
                </w:rPr>
                <w:t>Market Competitiveness and Employee Retention</w:t>
              </w:r>
            </w:hyperlink>
          </w:p>
        </w:tc>
        <w:tc>
          <w:tcPr>
            <w:tcW w:w="3720" w:type="dxa"/>
            <w:vAlign w:val="bottom"/>
            <w:gridSpan w:val="10"/>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62">
              <w:r>
                <w:rPr>
                  <w:rFonts w:ascii="Arial" w:cs="Arial" w:eastAsia="Arial" w:hAnsi="Arial"/>
                  <w:sz w:val="16"/>
                  <w:szCs w:val="16"/>
                  <w:color w:val="0000EE"/>
                </w:rPr>
                <w:t>48</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right w:val="single" w:sz="8" w:color="183394"/>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4"/>
            <w:vMerge w:val="restart"/>
          </w:tcPr>
          <w:p>
            <w:pPr>
              <w:ind w:left="200"/>
              <w:spacing w:after="0"/>
              <w:rPr>
                <w:sz w:val="20"/>
                <w:szCs w:val="20"/>
                <w:color w:val="auto"/>
              </w:rPr>
            </w:pPr>
            <w:r>
              <w:rPr>
                <w:rFonts w:ascii="Arial" w:cs="Arial" w:eastAsia="Arial" w:hAnsi="Arial"/>
                <w:sz w:val="16"/>
                <w:szCs w:val="16"/>
                <w:color w:val="183394"/>
              </w:rPr>
              <w:t>Table of Contents</w:t>
            </w:r>
          </w:p>
        </w:tc>
        <w:tc>
          <w:tcPr>
            <w:tcW w:w="1000" w:type="dxa"/>
            <w:vAlign w:val="bottom"/>
            <w:shd w:val="clear" w:color="auto" w:fill="183394"/>
          </w:tcPr>
          <w:p>
            <w:pPr>
              <w:ind w:left="480"/>
              <w:spacing w:after="0"/>
              <w:rPr>
                <w:sz w:val="20"/>
                <w:szCs w:val="20"/>
                <w:color w:val="auto"/>
              </w:rPr>
            </w:pPr>
            <w:r>
              <w:rPr>
                <w:rFonts w:ascii="Arial" w:cs="Arial" w:eastAsia="Arial" w:hAnsi="Arial"/>
                <w:sz w:val="16"/>
                <w:szCs w:val="16"/>
                <w:b w:val="1"/>
                <w:bCs w:val="1"/>
                <w:color w:val="FFFFFF"/>
              </w:rPr>
              <w:t>i</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Borders>
              <w:right w:val="single" w:sz="8" w:color="183394"/>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13" w:name="page14"/>
    <w:bookmarkEnd w:id="13"/>
    <w:tbl>
      <w:tblPr>
        <w:tblLayout w:type="fixed"/>
        <w:tblInd w:w="720" w:type="dxa"/>
        <w:tblCellMar>
          <w:top w:w="0" w:type="dxa"/>
          <w:left w:w="0" w:type="dxa"/>
          <w:bottom w:w="0" w:type="dxa"/>
          <w:right w:w="0" w:type="dxa"/>
        </w:tblCellMar>
      </w:tblPr>
      <w:tr>
        <w:trPr>
          <w:trHeight w:val="184"/>
        </w:trPr>
        <w:tc>
          <w:tcPr>
            <w:tcW w:w="7060" w:type="dxa"/>
            <w:vAlign w:val="bottom"/>
            <w:gridSpan w:val="9"/>
          </w:tcPr>
          <w:p>
            <w:pPr>
              <w:spacing w:after="0"/>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Section 3 – Executive Compensation Process and Considerations</w:t>
              </w:r>
            </w:hyperlink>
          </w:p>
        </w:tc>
        <w:tc>
          <w:tcPr>
            <w:tcW w:w="2080" w:type="dxa"/>
            <w:vAlign w:val="bottom"/>
            <w:gridSpan w:val="2"/>
          </w:tcPr>
          <w:p>
            <w:pPr>
              <w:jc w:val="right"/>
              <w:spacing w:after="0"/>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49</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700" w:type="dxa"/>
            <w:vAlign w:val="bottom"/>
          </w:tcPr>
          <w:p>
            <w:pPr>
              <w:spacing w:after="0" w:line="170" w:lineRule="exact"/>
              <w:rPr>
                <w:rFonts w:ascii="Arial" w:cs="Arial" w:eastAsia="Arial" w:hAnsi="Arial"/>
                <w:sz w:val="16"/>
                <w:szCs w:val="16"/>
                <w:color w:val="0000EE"/>
              </w:rPr>
            </w:pPr>
            <w:hyperlink w:anchor="page63">
              <w:r>
                <w:rPr>
                  <w:rFonts w:ascii="Arial" w:cs="Arial" w:eastAsia="Arial" w:hAnsi="Arial"/>
                  <w:sz w:val="16"/>
                  <w:szCs w:val="16"/>
                  <w:color w:val="0000EE"/>
                </w:rPr>
                <w:t>Overview</w:t>
              </w:r>
            </w:hyperlink>
          </w:p>
        </w:tc>
        <w:tc>
          <w:tcPr>
            <w:tcW w:w="4440" w:type="dxa"/>
            <w:vAlign w:val="bottom"/>
            <w:gridSpan w:val="7"/>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63">
              <w:r>
                <w:rPr>
                  <w:rFonts w:ascii="Arial" w:cs="Arial" w:eastAsia="Arial" w:hAnsi="Arial"/>
                  <w:sz w:val="16"/>
                  <w:szCs w:val="16"/>
                  <w:color w:val="0000EE"/>
                </w:rPr>
                <w:t>49</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860" w:type="dxa"/>
            <w:vAlign w:val="bottom"/>
            <w:gridSpan w:val="2"/>
          </w:tcPr>
          <w:p>
            <w:pPr>
              <w:spacing w:after="0" w:line="170" w:lineRule="exact"/>
              <w:rPr>
                <w:rFonts w:ascii="Arial" w:cs="Arial" w:eastAsia="Arial" w:hAnsi="Arial"/>
                <w:sz w:val="16"/>
                <w:szCs w:val="16"/>
                <w:color w:val="0000EE"/>
              </w:rPr>
            </w:pPr>
            <w:hyperlink w:anchor="page64">
              <w:r>
                <w:rPr>
                  <w:rFonts w:ascii="Arial" w:cs="Arial" w:eastAsia="Arial" w:hAnsi="Arial"/>
                  <w:sz w:val="16"/>
                  <w:szCs w:val="16"/>
                  <w:color w:val="0000EE"/>
                </w:rPr>
                <w:t>Peer Group</w:t>
              </w:r>
            </w:hyperlink>
          </w:p>
        </w:tc>
        <w:tc>
          <w:tcPr>
            <w:tcW w:w="6200" w:type="dxa"/>
            <w:vAlign w:val="bottom"/>
            <w:gridSpan w:val="7"/>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64">
              <w:r>
                <w:rPr>
                  <w:rFonts w:ascii="Arial" w:cs="Arial" w:eastAsia="Arial" w:hAnsi="Arial"/>
                  <w:sz w:val="16"/>
                  <w:szCs w:val="16"/>
                  <w:color w:val="0000EE"/>
                </w:rPr>
                <w:t>50</w:t>
              </w:r>
            </w:hyperlink>
          </w:p>
        </w:tc>
      </w:tr>
      <w:tr>
        <w:trPr>
          <w:trHeight w:val="20"/>
        </w:trPr>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7060" w:type="dxa"/>
            <w:vAlign w:val="bottom"/>
            <w:gridSpan w:val="9"/>
          </w:tcPr>
          <w:p>
            <w:pPr>
              <w:spacing w:after="0" w:line="170" w:lineRule="exact"/>
              <w:rPr>
                <w:rFonts w:ascii="Arial" w:cs="Arial" w:eastAsia="Arial" w:hAnsi="Arial"/>
                <w:sz w:val="16"/>
                <w:szCs w:val="16"/>
                <w:color w:val="0000EE"/>
              </w:rPr>
            </w:pPr>
            <w:hyperlink w:anchor="page65">
              <w:r>
                <w:rPr>
                  <w:rFonts w:ascii="Arial" w:cs="Arial" w:eastAsia="Arial" w:hAnsi="Arial"/>
                  <w:sz w:val="16"/>
                  <w:szCs w:val="16"/>
                  <w:color w:val="0000EE"/>
                </w:rPr>
                <w:t>Compensation Consultant Independence</w:t>
              </w:r>
            </w:hyperlink>
          </w:p>
        </w:tc>
        <w:tc>
          <w:tcPr>
            <w:tcW w:w="2080" w:type="dxa"/>
            <w:vAlign w:val="bottom"/>
            <w:gridSpan w:val="2"/>
          </w:tcPr>
          <w:p>
            <w:pPr>
              <w:jc w:val="right"/>
              <w:spacing w:after="0" w:line="170" w:lineRule="exact"/>
              <w:rPr>
                <w:rFonts w:ascii="Arial" w:cs="Arial" w:eastAsia="Arial" w:hAnsi="Arial"/>
                <w:sz w:val="16"/>
                <w:szCs w:val="16"/>
                <w:color w:val="0000EE"/>
              </w:rPr>
            </w:pPr>
            <w:hyperlink w:anchor="page65">
              <w:r>
                <w:rPr>
                  <w:rFonts w:ascii="Arial" w:cs="Arial" w:eastAsia="Arial" w:hAnsi="Arial"/>
                  <w:sz w:val="16"/>
                  <w:szCs w:val="16"/>
                  <w:color w:val="0000EE"/>
                </w:rPr>
                <w:t>51</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2080" w:type="dxa"/>
            <w:vAlign w:val="bottom"/>
            <w:gridSpan w:val="5"/>
          </w:tcPr>
          <w:p>
            <w:pPr>
              <w:spacing w:after="0" w:line="170" w:lineRule="exact"/>
              <w:rPr>
                <w:rFonts w:ascii="Arial" w:cs="Arial" w:eastAsia="Arial" w:hAnsi="Arial"/>
                <w:sz w:val="16"/>
                <w:szCs w:val="16"/>
                <w:color w:val="0000EE"/>
              </w:rPr>
            </w:pPr>
            <w:hyperlink w:anchor="page66">
              <w:r>
                <w:rPr>
                  <w:rFonts w:ascii="Arial" w:cs="Arial" w:eastAsia="Arial" w:hAnsi="Arial"/>
                  <w:sz w:val="16"/>
                  <w:szCs w:val="16"/>
                  <w:color w:val="0000EE"/>
                </w:rPr>
                <w:t>Stock Ownership Guidelines</w:t>
              </w:r>
            </w:hyperlink>
          </w:p>
        </w:tc>
        <w:tc>
          <w:tcPr>
            <w:tcW w:w="900" w:type="dxa"/>
            <w:vAlign w:val="bottom"/>
          </w:tcPr>
          <w:p>
            <w:pPr>
              <w:spacing w:after="0"/>
              <w:rPr>
                <w:sz w:val="14"/>
                <w:szCs w:val="14"/>
                <w:color w:val="auto"/>
              </w:rPr>
            </w:pPr>
          </w:p>
        </w:tc>
        <w:tc>
          <w:tcPr>
            <w:tcW w:w="4080" w:type="dxa"/>
            <w:vAlign w:val="bottom"/>
            <w:gridSpan w:val="3"/>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66">
              <w:r>
                <w:rPr>
                  <w:rFonts w:ascii="Arial" w:cs="Arial" w:eastAsia="Arial" w:hAnsi="Arial"/>
                  <w:sz w:val="16"/>
                  <w:szCs w:val="16"/>
                  <w:color w:val="0000EE"/>
                </w:rPr>
                <w:t>52</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1660" w:type="dxa"/>
            <w:vAlign w:val="bottom"/>
            <w:gridSpan w:val="4"/>
          </w:tcPr>
          <w:p>
            <w:pPr>
              <w:spacing w:after="0" w:line="170" w:lineRule="exact"/>
              <w:rPr>
                <w:rFonts w:ascii="Arial" w:cs="Arial" w:eastAsia="Arial" w:hAnsi="Arial"/>
                <w:sz w:val="16"/>
                <w:szCs w:val="16"/>
                <w:color w:val="0000EE"/>
              </w:rPr>
            </w:pPr>
            <w:hyperlink w:anchor="page66">
              <w:r>
                <w:rPr>
                  <w:rFonts w:ascii="Arial" w:cs="Arial" w:eastAsia="Arial" w:hAnsi="Arial"/>
                  <w:sz w:val="16"/>
                  <w:szCs w:val="16"/>
                  <w:color w:val="0000EE"/>
                </w:rPr>
                <w:t>Say-on-Pay Response</w:t>
              </w:r>
            </w:hyperlink>
          </w:p>
        </w:tc>
        <w:tc>
          <w:tcPr>
            <w:tcW w:w="420" w:type="dxa"/>
            <w:vAlign w:val="bottom"/>
          </w:tcPr>
          <w:p>
            <w:pPr>
              <w:spacing w:after="0"/>
              <w:rPr>
                <w:sz w:val="14"/>
                <w:szCs w:val="14"/>
                <w:color w:val="auto"/>
              </w:rPr>
            </w:pPr>
          </w:p>
        </w:tc>
        <w:tc>
          <w:tcPr>
            <w:tcW w:w="4980" w:type="dxa"/>
            <w:vAlign w:val="bottom"/>
            <w:gridSpan w:val="4"/>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66">
              <w:r>
                <w:rPr>
                  <w:rFonts w:ascii="Arial" w:cs="Arial" w:eastAsia="Arial" w:hAnsi="Arial"/>
                  <w:sz w:val="16"/>
                  <w:szCs w:val="16"/>
                  <w:color w:val="0000EE"/>
                </w:rPr>
                <w:t>52</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4220" w:type="dxa"/>
            <w:vAlign w:val="bottom"/>
            <w:gridSpan w:val="7"/>
          </w:tcPr>
          <w:p>
            <w:pPr>
              <w:spacing w:after="0" w:line="170" w:lineRule="exact"/>
              <w:rPr>
                <w:rFonts w:ascii="Arial" w:cs="Arial" w:eastAsia="Arial" w:hAnsi="Arial"/>
                <w:sz w:val="16"/>
                <w:szCs w:val="16"/>
                <w:color w:val="0000EE"/>
              </w:rPr>
            </w:pPr>
            <w:hyperlink w:anchor="page67">
              <w:r>
                <w:rPr>
                  <w:rFonts w:ascii="Arial" w:cs="Arial" w:eastAsia="Arial" w:hAnsi="Arial"/>
                  <w:sz w:val="16"/>
                  <w:szCs w:val="16"/>
                  <w:color w:val="0000EE"/>
                </w:rPr>
                <w:t>Consideration of Risk in Company Compensation Policies</w:t>
              </w:r>
            </w:hyperlink>
          </w:p>
        </w:tc>
        <w:tc>
          <w:tcPr>
            <w:tcW w:w="2840" w:type="dxa"/>
            <w:vAlign w:val="bottom"/>
            <w:gridSpan w:val="2"/>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67">
              <w:r>
                <w:rPr>
                  <w:rFonts w:ascii="Arial" w:cs="Arial" w:eastAsia="Arial" w:hAnsi="Arial"/>
                  <w:sz w:val="16"/>
                  <w:szCs w:val="16"/>
                  <w:color w:val="0000EE"/>
                </w:rPr>
                <w:t>53</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1180" w:type="dxa"/>
            <w:vAlign w:val="bottom"/>
            <w:gridSpan w:val="3"/>
          </w:tcPr>
          <w:p>
            <w:pPr>
              <w:spacing w:after="0" w:line="170" w:lineRule="exact"/>
              <w:rPr>
                <w:rFonts w:ascii="Arial" w:cs="Arial" w:eastAsia="Arial" w:hAnsi="Arial"/>
                <w:sz w:val="16"/>
                <w:szCs w:val="16"/>
                <w:color w:val="0000EE"/>
              </w:rPr>
            </w:pPr>
            <w:hyperlink w:anchor="page68">
              <w:r>
                <w:rPr>
                  <w:rFonts w:ascii="Arial" w:cs="Arial" w:eastAsia="Arial" w:hAnsi="Arial"/>
                  <w:sz w:val="16"/>
                  <w:szCs w:val="16"/>
                  <w:color w:val="0000EE"/>
                </w:rPr>
                <w:t>Tax Implications</w:t>
              </w:r>
            </w:hyperlink>
          </w:p>
        </w:tc>
        <w:tc>
          <w:tcPr>
            <w:tcW w:w="3040" w:type="dxa"/>
            <w:vAlign w:val="bottom"/>
            <w:gridSpan w:val="4"/>
          </w:tcPr>
          <w:p>
            <w:pPr>
              <w:spacing w:after="0"/>
              <w:rPr>
                <w:sz w:val="14"/>
                <w:szCs w:val="14"/>
                <w:color w:val="auto"/>
              </w:rPr>
            </w:pPr>
          </w:p>
        </w:tc>
        <w:tc>
          <w:tcPr>
            <w:tcW w:w="2840" w:type="dxa"/>
            <w:vAlign w:val="bottom"/>
            <w:gridSpan w:val="2"/>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68">
              <w:r>
                <w:rPr>
                  <w:rFonts w:ascii="Arial" w:cs="Arial" w:eastAsia="Arial" w:hAnsi="Arial"/>
                  <w:sz w:val="16"/>
                  <w:szCs w:val="16"/>
                  <w:color w:val="0000EE"/>
                </w:rPr>
                <w:t>54</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860" w:type="dxa"/>
            <w:vAlign w:val="bottom"/>
            <w:gridSpan w:val="14"/>
          </w:tcPr>
          <w:p>
            <w:pPr>
              <w:spacing w:after="0"/>
              <w:rPr>
                <w:rFonts w:ascii="Arial" w:cs="Arial" w:eastAsia="Arial" w:hAnsi="Arial"/>
                <w:sz w:val="16"/>
                <w:szCs w:val="16"/>
                <w:b w:val="1"/>
                <w:bCs w:val="1"/>
                <w:color w:val="0000EE"/>
              </w:rPr>
            </w:pPr>
            <w:hyperlink w:anchor="page68">
              <w:r>
                <w:rPr>
                  <w:rFonts w:ascii="Arial" w:cs="Arial" w:eastAsia="Arial" w:hAnsi="Arial"/>
                  <w:sz w:val="16"/>
                  <w:szCs w:val="16"/>
                  <w:b w:val="1"/>
                  <w:bCs w:val="1"/>
                  <w:color w:val="0000EE"/>
                </w:rPr>
                <w:t>Section 4 – Elements of Executive Compensation</w:t>
              </w:r>
            </w:hyperlink>
          </w:p>
        </w:tc>
        <w:tc>
          <w:tcPr>
            <w:tcW w:w="5020" w:type="dxa"/>
            <w:vAlign w:val="bottom"/>
            <w:gridSpan w:val="5"/>
          </w:tcPr>
          <w:p>
            <w:pPr>
              <w:spacing w:after="0"/>
              <w:rPr>
                <w:sz w:val="16"/>
                <w:szCs w:val="16"/>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8">
              <w:r>
                <w:rPr>
                  <w:rFonts w:ascii="Arial" w:cs="Arial" w:eastAsia="Arial" w:hAnsi="Arial"/>
                  <w:sz w:val="16"/>
                  <w:szCs w:val="16"/>
                  <w:b w:val="1"/>
                  <w:bCs w:val="1"/>
                  <w:color w:val="0000EE"/>
                </w:rPr>
                <w:t>54</w:t>
              </w:r>
            </w:hyperlink>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tcPr>
          <w:p>
            <w:pPr>
              <w:spacing w:after="0" w:line="170" w:lineRule="exact"/>
              <w:rPr>
                <w:rFonts w:ascii="Arial" w:cs="Arial" w:eastAsia="Arial" w:hAnsi="Arial"/>
                <w:sz w:val="16"/>
                <w:szCs w:val="16"/>
                <w:color w:val="0000EE"/>
              </w:rPr>
            </w:pPr>
            <w:hyperlink w:anchor="page68">
              <w:r>
                <w:rPr>
                  <w:rFonts w:ascii="Arial" w:cs="Arial" w:eastAsia="Arial" w:hAnsi="Arial"/>
                  <w:sz w:val="16"/>
                  <w:szCs w:val="16"/>
                  <w:color w:val="0000EE"/>
                </w:rPr>
                <w:t>Base Salary</w:t>
              </w:r>
            </w:hyperlink>
          </w:p>
        </w:tc>
        <w:tc>
          <w:tcPr>
            <w:tcW w:w="2960" w:type="dxa"/>
            <w:vAlign w:val="bottom"/>
            <w:gridSpan w:val="13"/>
          </w:tcPr>
          <w:p>
            <w:pPr>
              <w:spacing w:after="0"/>
              <w:rPr>
                <w:sz w:val="14"/>
                <w:szCs w:val="14"/>
                <w:color w:val="auto"/>
              </w:rPr>
            </w:pPr>
          </w:p>
        </w:tc>
        <w:tc>
          <w:tcPr>
            <w:tcW w:w="5020" w:type="dxa"/>
            <w:vAlign w:val="bottom"/>
            <w:gridSpan w:val="5"/>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68">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60" w:type="dxa"/>
            <w:vAlign w:val="bottom"/>
            <w:gridSpan w:val="3"/>
          </w:tcPr>
          <w:p>
            <w:pPr>
              <w:spacing w:after="0" w:line="170" w:lineRule="exact"/>
              <w:rPr>
                <w:rFonts w:ascii="Arial" w:cs="Arial" w:eastAsia="Arial" w:hAnsi="Arial"/>
                <w:sz w:val="16"/>
                <w:szCs w:val="16"/>
                <w:color w:val="0000EE"/>
              </w:rPr>
            </w:pPr>
            <w:hyperlink w:anchor="page69">
              <w:r>
                <w:rPr>
                  <w:rFonts w:ascii="Arial" w:cs="Arial" w:eastAsia="Arial" w:hAnsi="Arial"/>
                  <w:sz w:val="16"/>
                  <w:szCs w:val="16"/>
                  <w:color w:val="0000EE"/>
                </w:rPr>
                <w:t>Annual Cash Bonus</w:t>
              </w:r>
            </w:hyperlink>
          </w:p>
        </w:tc>
        <w:tc>
          <w:tcPr>
            <w:tcW w:w="7420" w:type="dxa"/>
            <w:vAlign w:val="bottom"/>
            <w:gridSpan w:val="16"/>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69">
              <w:r>
                <w:rPr>
                  <w:rFonts w:ascii="Arial" w:cs="Arial" w:eastAsia="Arial" w:hAnsi="Arial"/>
                  <w:sz w:val="16"/>
                  <w:szCs w:val="16"/>
                  <w:color w:val="0000EE"/>
                </w:rPr>
                <w:t>55</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00" w:type="dxa"/>
            <w:vAlign w:val="bottom"/>
            <w:gridSpan w:val="4"/>
          </w:tcPr>
          <w:p>
            <w:pPr>
              <w:spacing w:after="0" w:line="170" w:lineRule="exact"/>
              <w:rPr>
                <w:rFonts w:ascii="Arial" w:cs="Arial" w:eastAsia="Arial" w:hAnsi="Arial"/>
                <w:sz w:val="16"/>
                <w:szCs w:val="16"/>
                <w:color w:val="0000EE"/>
              </w:rPr>
            </w:pPr>
            <w:hyperlink w:anchor="page71">
              <w:r>
                <w:rPr>
                  <w:rFonts w:ascii="Arial" w:cs="Arial" w:eastAsia="Arial" w:hAnsi="Arial"/>
                  <w:sz w:val="16"/>
                  <w:szCs w:val="16"/>
                  <w:color w:val="0000EE"/>
                </w:rPr>
                <w:t>Annual Stock Option Awards</w:t>
              </w:r>
            </w:hyperlink>
          </w:p>
        </w:tc>
        <w:tc>
          <w:tcPr>
            <w:tcW w:w="6780" w:type="dxa"/>
            <w:vAlign w:val="bottom"/>
            <w:gridSpan w:val="15"/>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1">
              <w:r>
                <w:rPr>
                  <w:rFonts w:ascii="Arial" w:cs="Arial" w:eastAsia="Arial" w:hAnsi="Arial"/>
                  <w:sz w:val="16"/>
                  <w:szCs w:val="16"/>
                  <w:color w:val="0000EE"/>
                </w:rPr>
                <w:t>57</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gridSpan w:val="11"/>
          </w:tcPr>
          <w:p>
            <w:pPr>
              <w:spacing w:after="0" w:line="170" w:lineRule="exact"/>
              <w:rPr>
                <w:rFonts w:ascii="Arial" w:cs="Arial" w:eastAsia="Arial" w:hAnsi="Arial"/>
                <w:sz w:val="16"/>
                <w:szCs w:val="16"/>
                <w:color w:val="0000EE"/>
              </w:rPr>
            </w:pPr>
            <w:hyperlink w:anchor="page72">
              <w:r>
                <w:rPr>
                  <w:rFonts w:ascii="Arial" w:cs="Arial" w:eastAsia="Arial" w:hAnsi="Arial"/>
                  <w:sz w:val="16"/>
                  <w:szCs w:val="16"/>
                  <w:color w:val="0000EE"/>
                </w:rPr>
                <w:t>Perquisites and Other Personal Benefits</w:t>
              </w:r>
            </w:hyperlink>
          </w:p>
        </w:tc>
        <w:tc>
          <w:tcPr>
            <w:tcW w:w="5940" w:type="dxa"/>
            <w:vAlign w:val="bottom"/>
            <w:gridSpan w:val="8"/>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2">
              <w:r>
                <w:rPr>
                  <w:rFonts w:ascii="Arial" w:cs="Arial" w:eastAsia="Arial" w:hAnsi="Arial"/>
                  <w:sz w:val="16"/>
                  <w:szCs w:val="16"/>
                  <w:color w:val="0000EE"/>
                </w:rPr>
                <w:t>58</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20" w:type="dxa"/>
            <w:vAlign w:val="bottom"/>
            <w:gridSpan w:val="5"/>
          </w:tcPr>
          <w:p>
            <w:pPr>
              <w:spacing w:after="0" w:line="170" w:lineRule="exact"/>
              <w:rPr>
                <w:rFonts w:ascii="Arial" w:cs="Arial" w:eastAsia="Arial" w:hAnsi="Arial"/>
                <w:sz w:val="16"/>
                <w:szCs w:val="16"/>
                <w:color w:val="0000EE"/>
              </w:rPr>
            </w:pPr>
            <w:hyperlink w:anchor="page73">
              <w:r>
                <w:rPr>
                  <w:rFonts w:ascii="Arial" w:cs="Arial" w:eastAsia="Arial" w:hAnsi="Arial"/>
                  <w:sz w:val="16"/>
                  <w:szCs w:val="16"/>
                  <w:color w:val="0000EE"/>
                </w:rPr>
                <w:t>Potential Severance Benefits</w:t>
              </w:r>
            </w:hyperlink>
          </w:p>
        </w:tc>
        <w:tc>
          <w:tcPr>
            <w:tcW w:w="820" w:type="dxa"/>
            <w:vAlign w:val="bottom"/>
            <w:gridSpan w:val="6"/>
          </w:tcPr>
          <w:p>
            <w:pPr>
              <w:spacing w:after="0"/>
              <w:rPr>
                <w:sz w:val="14"/>
                <w:szCs w:val="14"/>
                <w:color w:val="auto"/>
              </w:rPr>
            </w:pPr>
          </w:p>
        </w:tc>
        <w:tc>
          <w:tcPr>
            <w:tcW w:w="5940" w:type="dxa"/>
            <w:vAlign w:val="bottom"/>
            <w:gridSpan w:val="8"/>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3">
              <w:r>
                <w:rPr>
                  <w:rFonts w:ascii="Arial" w:cs="Arial" w:eastAsia="Arial" w:hAnsi="Arial"/>
                  <w:sz w:val="16"/>
                  <w:szCs w:val="16"/>
                  <w:color w:val="0000EE"/>
                </w:rPr>
                <w:t>59</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0" w:type="dxa"/>
            <w:vAlign w:val="bottom"/>
            <w:gridSpan w:val="8"/>
          </w:tcPr>
          <w:p>
            <w:pPr>
              <w:spacing w:after="0"/>
              <w:rPr>
                <w:rFonts w:ascii="Arial" w:cs="Arial" w:eastAsia="Arial" w:hAnsi="Arial"/>
                <w:sz w:val="16"/>
                <w:szCs w:val="16"/>
                <w:b w:val="1"/>
                <w:bCs w:val="1"/>
                <w:color w:val="0000EE"/>
              </w:rPr>
            </w:pPr>
            <w:hyperlink w:anchor="page75">
              <w:r>
                <w:rPr>
                  <w:rFonts w:ascii="Arial" w:cs="Arial" w:eastAsia="Arial" w:hAnsi="Arial"/>
                  <w:sz w:val="16"/>
                  <w:szCs w:val="16"/>
                  <w:b w:val="1"/>
                  <w:bCs w:val="1"/>
                  <w:color w:val="0000EE"/>
                </w:rPr>
                <w:t>Compensation Committee Report</w:t>
              </w:r>
            </w:hyperlink>
          </w:p>
        </w:tc>
        <w:tc>
          <w:tcPr>
            <w:tcW w:w="6280" w:type="dxa"/>
            <w:vAlign w:val="bottom"/>
            <w:gridSpan w:val="11"/>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5">
              <w:r>
                <w:rPr>
                  <w:rFonts w:ascii="Arial" w:cs="Arial" w:eastAsia="Arial" w:hAnsi="Arial"/>
                  <w:sz w:val="16"/>
                  <w:szCs w:val="16"/>
                  <w:b w:val="1"/>
                  <w:bCs w:val="1"/>
                  <w:color w:val="0000EE"/>
                </w:rPr>
                <w:t>60</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40" w:type="dxa"/>
            <w:vAlign w:val="bottom"/>
            <w:gridSpan w:val="16"/>
          </w:tcPr>
          <w:p>
            <w:pPr>
              <w:spacing w:after="0"/>
              <w:rPr>
                <w:rFonts w:ascii="Arial" w:cs="Arial" w:eastAsia="Arial" w:hAnsi="Arial"/>
                <w:sz w:val="16"/>
                <w:szCs w:val="16"/>
                <w:b w:val="1"/>
                <w:bCs w:val="1"/>
                <w:color w:val="0000EE"/>
              </w:rPr>
            </w:pPr>
            <w:hyperlink w:anchor="page75">
              <w:r>
                <w:rPr>
                  <w:rFonts w:ascii="Arial" w:cs="Arial" w:eastAsia="Arial" w:hAnsi="Arial"/>
                  <w:sz w:val="16"/>
                  <w:szCs w:val="16"/>
                  <w:b w:val="1"/>
                  <w:bCs w:val="1"/>
                  <w:color w:val="0000EE"/>
                </w:rPr>
                <w:t>Compensation Committee Interlocks and Insider Participation</w:t>
              </w:r>
            </w:hyperlink>
          </w:p>
        </w:tc>
        <w:tc>
          <w:tcPr>
            <w:tcW w:w="4040" w:type="dxa"/>
            <w:vAlign w:val="bottom"/>
            <w:gridSpan w:val="3"/>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5">
              <w:r>
                <w:rPr>
                  <w:rFonts w:ascii="Arial" w:cs="Arial" w:eastAsia="Arial" w:hAnsi="Arial"/>
                  <w:sz w:val="16"/>
                  <w:szCs w:val="16"/>
                  <w:b w:val="1"/>
                  <w:bCs w:val="1"/>
                  <w:color w:val="0000EE"/>
                </w:rPr>
                <w:t>60</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40" w:type="dxa"/>
            <w:vAlign w:val="bottom"/>
            <w:gridSpan w:val="16"/>
          </w:tcPr>
          <w:p>
            <w:pPr>
              <w:spacing w:after="0"/>
              <w:rPr>
                <w:rFonts w:ascii="Arial" w:cs="Arial" w:eastAsia="Arial" w:hAnsi="Arial"/>
                <w:sz w:val="16"/>
                <w:szCs w:val="16"/>
                <w:b w:val="1"/>
                <w:bCs w:val="1"/>
                <w:color w:val="0000EE"/>
              </w:rPr>
            </w:pPr>
            <w:hyperlink w:anchor="page76">
              <w:r>
                <w:rPr>
                  <w:rFonts w:ascii="Arial" w:cs="Arial" w:eastAsia="Arial" w:hAnsi="Arial"/>
                  <w:sz w:val="16"/>
                  <w:szCs w:val="16"/>
                  <w:b w:val="1"/>
                  <w:bCs w:val="1"/>
                  <w:color w:val="0000EE"/>
                </w:rPr>
                <w:t>Summary Compensation Table</w:t>
              </w:r>
            </w:hyperlink>
          </w:p>
        </w:tc>
        <w:tc>
          <w:tcPr>
            <w:tcW w:w="4040" w:type="dxa"/>
            <w:vAlign w:val="bottom"/>
            <w:gridSpan w:val="3"/>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6">
              <w:r>
                <w:rPr>
                  <w:rFonts w:ascii="Arial" w:cs="Arial" w:eastAsia="Arial" w:hAnsi="Arial"/>
                  <w:sz w:val="16"/>
                  <w:szCs w:val="16"/>
                  <w:b w:val="1"/>
                  <w:bCs w:val="1"/>
                  <w:color w:val="0000EE"/>
                </w:rPr>
                <w:t>61</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20" w:type="dxa"/>
            <w:vAlign w:val="bottom"/>
            <w:gridSpan w:val="6"/>
          </w:tcPr>
          <w:p>
            <w:pPr>
              <w:spacing w:after="0"/>
              <w:rPr>
                <w:rFonts w:ascii="Arial" w:cs="Arial" w:eastAsia="Arial" w:hAnsi="Arial"/>
                <w:sz w:val="16"/>
                <w:szCs w:val="16"/>
                <w:b w:val="1"/>
                <w:bCs w:val="1"/>
                <w:color w:val="0000EE"/>
              </w:rPr>
            </w:pPr>
            <w:hyperlink w:anchor="page78">
              <w:r>
                <w:rPr>
                  <w:rFonts w:ascii="Arial" w:cs="Arial" w:eastAsia="Arial" w:hAnsi="Arial"/>
                  <w:sz w:val="16"/>
                  <w:szCs w:val="16"/>
                  <w:b w:val="1"/>
                  <w:bCs w:val="1"/>
                  <w:color w:val="0000EE"/>
                </w:rPr>
                <w:t>Grants of Plan-Based Awards</w:t>
              </w:r>
            </w:hyperlink>
          </w:p>
        </w:tc>
        <w:tc>
          <w:tcPr>
            <w:tcW w:w="80" w:type="dxa"/>
            <w:vAlign w:val="bottom"/>
          </w:tcPr>
          <w:p>
            <w:pPr>
              <w:spacing w:after="0"/>
              <w:rPr>
                <w:sz w:val="24"/>
                <w:szCs w:val="24"/>
                <w:color w:val="auto"/>
              </w:rPr>
            </w:pPr>
          </w:p>
        </w:tc>
        <w:tc>
          <w:tcPr>
            <w:tcW w:w="6480" w:type="dxa"/>
            <w:vAlign w:val="bottom"/>
            <w:gridSpan w:val="12"/>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8">
              <w:r>
                <w:rPr>
                  <w:rFonts w:ascii="Arial" w:cs="Arial" w:eastAsia="Arial" w:hAnsi="Arial"/>
                  <w:sz w:val="16"/>
                  <w:szCs w:val="16"/>
                  <w:b w:val="1"/>
                  <w:bCs w:val="1"/>
                  <w:color w:val="0000EE"/>
                </w:rPr>
                <w:t>63</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80" w:type="dxa"/>
            <w:vAlign w:val="bottom"/>
            <w:gridSpan w:val="19"/>
          </w:tcPr>
          <w:p>
            <w:pPr>
              <w:spacing w:after="0"/>
              <w:rPr>
                <w:rFonts w:ascii="Arial" w:cs="Arial" w:eastAsia="Arial" w:hAnsi="Arial"/>
                <w:sz w:val="16"/>
                <w:szCs w:val="16"/>
                <w:b w:val="1"/>
                <w:bCs w:val="1"/>
                <w:color w:val="0000EE"/>
              </w:rPr>
            </w:pPr>
            <w:hyperlink w:anchor="page79">
              <w:r>
                <w:rPr>
                  <w:rFonts w:ascii="Arial" w:cs="Arial" w:eastAsia="Arial" w:hAnsi="Arial"/>
                  <w:sz w:val="16"/>
                  <w:szCs w:val="16"/>
                  <w:b w:val="1"/>
                  <w:bCs w:val="1"/>
                  <w:color w:val="0000EE"/>
                </w:rPr>
                <w:t>Outstanding Equity Awards at Fiscal Year-End</w:t>
              </w:r>
            </w:hyperlink>
          </w:p>
        </w:tc>
        <w:tc>
          <w:tcPr>
            <w:tcW w:w="260" w:type="dxa"/>
            <w:vAlign w:val="bottom"/>
            <w:gridSpan w:val="2"/>
          </w:tcPr>
          <w:p>
            <w:pPr>
              <w:jc w:val="right"/>
              <w:spacing w:after="0"/>
              <w:rPr>
                <w:rFonts w:ascii="Arial" w:cs="Arial" w:eastAsia="Arial" w:hAnsi="Arial"/>
                <w:sz w:val="16"/>
                <w:szCs w:val="16"/>
                <w:b w:val="1"/>
                <w:bCs w:val="1"/>
                <w:color w:val="0000EE"/>
              </w:rPr>
            </w:pPr>
            <w:hyperlink w:anchor="page79">
              <w:r>
                <w:rPr>
                  <w:rFonts w:ascii="Arial" w:cs="Arial" w:eastAsia="Arial" w:hAnsi="Arial"/>
                  <w:sz w:val="16"/>
                  <w:szCs w:val="16"/>
                  <w:b w:val="1"/>
                  <w:bCs w:val="1"/>
                  <w:color w:val="0000EE"/>
                </w:rPr>
                <w:t>64</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760" w:type="dxa"/>
            <w:vAlign w:val="bottom"/>
            <w:gridSpan w:val="9"/>
          </w:tcPr>
          <w:p>
            <w:pPr>
              <w:spacing w:after="0"/>
              <w:rPr>
                <w:rFonts w:ascii="Arial" w:cs="Arial" w:eastAsia="Arial" w:hAnsi="Arial"/>
                <w:sz w:val="16"/>
                <w:szCs w:val="16"/>
                <w:b w:val="1"/>
                <w:bCs w:val="1"/>
                <w:color w:val="0000EE"/>
              </w:rPr>
            </w:pPr>
            <w:hyperlink w:anchor="page81">
              <w:r>
                <w:rPr>
                  <w:rFonts w:ascii="Arial" w:cs="Arial" w:eastAsia="Arial" w:hAnsi="Arial"/>
                  <w:sz w:val="16"/>
                  <w:szCs w:val="16"/>
                  <w:b w:val="1"/>
                  <w:bCs w:val="1"/>
                  <w:color w:val="0000EE"/>
                </w:rPr>
                <w:t>Option Exercises and Stock Vested</w:t>
              </w:r>
            </w:hyperlink>
          </w:p>
        </w:tc>
        <w:tc>
          <w:tcPr>
            <w:tcW w:w="860" w:type="dxa"/>
            <w:vAlign w:val="bottom"/>
            <w:gridSpan w:val="4"/>
          </w:tcPr>
          <w:p>
            <w:pPr>
              <w:spacing w:after="0"/>
              <w:rPr>
                <w:sz w:val="24"/>
                <w:szCs w:val="24"/>
                <w:color w:val="auto"/>
              </w:rPr>
            </w:pPr>
          </w:p>
        </w:tc>
        <w:tc>
          <w:tcPr>
            <w:tcW w:w="5260" w:type="dxa"/>
            <w:vAlign w:val="bottom"/>
            <w:gridSpan w:val="6"/>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81">
              <w:r>
                <w:rPr>
                  <w:rFonts w:ascii="Arial" w:cs="Arial" w:eastAsia="Arial" w:hAnsi="Arial"/>
                  <w:sz w:val="16"/>
                  <w:szCs w:val="16"/>
                  <w:b w:val="1"/>
                  <w:bCs w:val="1"/>
                  <w:color w:val="0000EE"/>
                </w:rPr>
                <w:t>66</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0" w:type="dxa"/>
            <w:vAlign w:val="bottom"/>
            <w:gridSpan w:val="8"/>
          </w:tcPr>
          <w:p>
            <w:pPr>
              <w:spacing w:after="0"/>
              <w:rPr>
                <w:rFonts w:ascii="Arial" w:cs="Arial" w:eastAsia="Arial" w:hAnsi="Arial"/>
                <w:sz w:val="16"/>
                <w:szCs w:val="16"/>
                <w:b w:val="1"/>
                <w:bCs w:val="1"/>
                <w:color w:val="0000EE"/>
              </w:rPr>
            </w:pPr>
            <w:hyperlink w:anchor="page81">
              <w:r>
                <w:rPr>
                  <w:rFonts w:ascii="Arial" w:cs="Arial" w:eastAsia="Arial" w:hAnsi="Arial"/>
                  <w:sz w:val="16"/>
                  <w:szCs w:val="16"/>
                  <w:b w:val="1"/>
                  <w:bCs w:val="1"/>
                  <w:color w:val="0000EE"/>
                </w:rPr>
                <w:t>Post-Employment Compensation</w:t>
              </w:r>
            </w:hyperlink>
          </w:p>
        </w:tc>
        <w:tc>
          <w:tcPr>
            <w:tcW w:w="160" w:type="dxa"/>
            <w:vAlign w:val="bottom"/>
          </w:tcPr>
          <w:p>
            <w:pPr>
              <w:spacing w:after="0"/>
              <w:rPr>
                <w:sz w:val="24"/>
                <w:szCs w:val="24"/>
                <w:color w:val="auto"/>
              </w:rPr>
            </w:pPr>
          </w:p>
        </w:tc>
        <w:tc>
          <w:tcPr>
            <w:tcW w:w="6120" w:type="dxa"/>
            <w:vAlign w:val="bottom"/>
            <w:gridSpan w:val="10"/>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81">
              <w:r>
                <w:rPr>
                  <w:rFonts w:ascii="Arial" w:cs="Arial" w:eastAsia="Arial" w:hAnsi="Arial"/>
                  <w:sz w:val="16"/>
                  <w:szCs w:val="16"/>
                  <w:b w:val="1"/>
                  <w:bCs w:val="1"/>
                  <w:color w:val="0000EE"/>
                </w:rPr>
                <w:t>66</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00" w:type="dxa"/>
            <w:vAlign w:val="bottom"/>
            <w:gridSpan w:val="12"/>
          </w:tcPr>
          <w:p>
            <w:pPr>
              <w:spacing w:after="0"/>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Additional Equity Compensation Information</w:t>
              </w:r>
            </w:hyperlink>
          </w:p>
        </w:tc>
        <w:tc>
          <w:tcPr>
            <w:tcW w:w="5380" w:type="dxa"/>
            <w:vAlign w:val="bottom"/>
            <w:gridSpan w:val="7"/>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70</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80" w:type="dxa"/>
            <w:vAlign w:val="bottom"/>
            <w:gridSpan w:val="19"/>
          </w:tcPr>
          <w:p>
            <w:pPr>
              <w:spacing w:after="0" w:line="170" w:lineRule="exact"/>
              <w:rPr>
                <w:rFonts w:ascii="Arial" w:cs="Arial" w:eastAsia="Arial" w:hAnsi="Arial"/>
                <w:sz w:val="16"/>
                <w:szCs w:val="16"/>
                <w:color w:val="0000EE"/>
              </w:rPr>
            </w:pPr>
            <w:hyperlink w:anchor="page85">
              <w:r>
                <w:rPr>
                  <w:rFonts w:ascii="Arial" w:cs="Arial" w:eastAsia="Arial" w:hAnsi="Arial"/>
                  <w:sz w:val="16"/>
                  <w:szCs w:val="16"/>
                  <w:color w:val="0000EE"/>
                </w:rPr>
                <w:t>Corporate Governance Aspects of the Regeneron Pharmaceuticals, Inc. 2014 Long-Term Incentive Plan</w:t>
              </w:r>
            </w:hyperlink>
          </w:p>
        </w:tc>
        <w:tc>
          <w:tcPr>
            <w:tcW w:w="260" w:type="dxa"/>
            <w:vAlign w:val="bottom"/>
            <w:gridSpan w:val="2"/>
          </w:tcPr>
          <w:p>
            <w:pPr>
              <w:jc w:val="right"/>
              <w:spacing w:after="0" w:line="170" w:lineRule="exact"/>
              <w:rPr>
                <w:rFonts w:ascii="Arial" w:cs="Arial" w:eastAsia="Arial" w:hAnsi="Arial"/>
                <w:sz w:val="16"/>
                <w:szCs w:val="16"/>
                <w:color w:val="0000EE"/>
              </w:rPr>
            </w:pPr>
            <w:hyperlink w:anchor="page85">
              <w:r>
                <w:rPr>
                  <w:rFonts w:ascii="Arial" w:cs="Arial" w:eastAsia="Arial" w:hAnsi="Arial"/>
                  <w:sz w:val="16"/>
                  <w:szCs w:val="16"/>
                  <w:color w:val="0000EE"/>
                </w:rPr>
                <w:t>70</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gridSpan w:val="10"/>
          </w:tcPr>
          <w:p>
            <w:pPr>
              <w:spacing w:after="0" w:line="170" w:lineRule="exact"/>
              <w:rPr>
                <w:rFonts w:ascii="Arial" w:cs="Arial" w:eastAsia="Arial" w:hAnsi="Arial"/>
                <w:sz w:val="16"/>
                <w:szCs w:val="16"/>
                <w:color w:val="0000EE"/>
              </w:rPr>
            </w:pPr>
            <w:hyperlink w:anchor="page86">
              <w:r>
                <w:rPr>
                  <w:rFonts w:ascii="Arial" w:cs="Arial" w:eastAsia="Arial" w:hAnsi="Arial"/>
                  <w:sz w:val="16"/>
                  <w:szCs w:val="16"/>
                  <w:color w:val="0000EE"/>
                </w:rPr>
                <w:t>Equity Compensation Plan Information</w:t>
              </w:r>
            </w:hyperlink>
          </w:p>
        </w:tc>
        <w:tc>
          <w:tcPr>
            <w:tcW w:w="4740" w:type="dxa"/>
            <w:vAlign w:val="bottom"/>
            <w:gridSpan w:val="7"/>
          </w:tcPr>
          <w:p>
            <w:pPr>
              <w:spacing w:after="0"/>
              <w:rPr>
                <w:sz w:val="14"/>
                <w:szCs w:val="14"/>
                <w:color w:val="auto"/>
              </w:rPr>
            </w:pPr>
          </w:p>
        </w:tc>
        <w:tc>
          <w:tcPr>
            <w:tcW w:w="1320" w:type="dxa"/>
            <w:vAlign w:val="bottom"/>
            <w:gridSpan w:val="2"/>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86">
              <w:r>
                <w:rPr>
                  <w:rFonts w:ascii="Arial" w:cs="Arial" w:eastAsia="Arial" w:hAnsi="Arial"/>
                  <w:sz w:val="16"/>
                  <w:szCs w:val="16"/>
                  <w:color w:val="0000EE"/>
                </w:rPr>
                <w:t>71</w:t>
              </w:r>
            </w:hyperlink>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820" w:type="dxa"/>
            <w:vAlign w:val="bottom"/>
            <w:gridSpan w:val="10"/>
          </w:tcPr>
          <w:p>
            <w:pPr>
              <w:spacing w:after="0"/>
              <w:rPr>
                <w:rFonts w:ascii="Arial" w:cs="Arial" w:eastAsia="Arial" w:hAnsi="Arial"/>
                <w:sz w:val="16"/>
                <w:szCs w:val="16"/>
                <w:b w:val="1"/>
                <w:bCs w:val="1"/>
                <w:color w:val="5668B0"/>
              </w:rPr>
            </w:pPr>
            <w:hyperlink w:anchor="page87">
              <w:r>
                <w:rPr>
                  <w:rFonts w:ascii="Arial" w:cs="Arial" w:eastAsia="Arial" w:hAnsi="Arial"/>
                  <w:sz w:val="16"/>
                  <w:szCs w:val="16"/>
                  <w:b w:val="1"/>
                  <w:bCs w:val="1"/>
                  <w:color w:val="5668B0"/>
                </w:rPr>
                <w:t>Other Matters</w:t>
              </w:r>
            </w:hyperlink>
          </w:p>
        </w:tc>
        <w:tc>
          <w:tcPr>
            <w:tcW w:w="6060" w:type="dxa"/>
            <w:vAlign w:val="bottom"/>
            <w:gridSpan w:val="9"/>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5668B0"/>
              </w:rPr>
            </w:pPr>
            <w:hyperlink w:anchor="page87">
              <w:r>
                <w:rPr>
                  <w:rFonts w:ascii="Arial" w:cs="Arial" w:eastAsia="Arial" w:hAnsi="Arial"/>
                  <w:sz w:val="16"/>
                  <w:szCs w:val="16"/>
                  <w:b w:val="1"/>
                  <w:bCs w:val="1"/>
                  <w:color w:val="5668B0"/>
                </w:rPr>
                <w:t>72</w:t>
              </w:r>
            </w:hyperlink>
          </w:p>
        </w:tc>
        <w:tc>
          <w:tcPr>
            <w:tcW w:w="0" w:type="dxa"/>
            <w:vAlign w:val="bottom"/>
          </w:tcPr>
          <w:p>
            <w:pPr>
              <w:spacing w:after="0"/>
              <w:rPr>
                <w:sz w:val="1"/>
                <w:szCs w:val="1"/>
                <w:color w:val="auto"/>
              </w:rPr>
            </w:pPr>
          </w:p>
        </w:tc>
      </w:tr>
      <w:tr>
        <w:trPr>
          <w:trHeight w:val="20"/>
        </w:trPr>
        <w:tc>
          <w:tcPr>
            <w:tcW w:w="90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380" w:type="dxa"/>
            <w:vAlign w:val="bottom"/>
            <w:tcBorders>
              <w:bottom w:val="single" w:sz="8" w:color="5668B0"/>
            </w:tcBorders>
          </w:tcPr>
          <w:p>
            <w:pPr>
              <w:spacing w:after="0" w:line="20" w:lineRule="exact"/>
              <w:rPr>
                <w:sz w:val="1"/>
                <w:szCs w:val="1"/>
                <w:color w:val="auto"/>
              </w:rPr>
            </w:pPr>
          </w:p>
        </w:tc>
        <w:tc>
          <w:tcPr>
            <w:tcW w:w="640" w:type="dxa"/>
            <w:vAlign w:val="bottom"/>
            <w:tcBorders>
              <w:bottom w:val="single" w:sz="8" w:color="5668B0"/>
            </w:tcBorders>
          </w:tcPr>
          <w:p>
            <w:pPr>
              <w:spacing w:after="0" w:line="20" w:lineRule="exact"/>
              <w:rPr>
                <w:sz w:val="1"/>
                <w:szCs w:val="1"/>
                <w:color w:val="auto"/>
              </w:rPr>
            </w:pPr>
          </w:p>
        </w:tc>
        <w:tc>
          <w:tcPr>
            <w:tcW w:w="2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200" w:type="dxa"/>
            <w:vAlign w:val="bottom"/>
            <w:tcBorders>
              <w:bottom w:val="single" w:sz="8" w:color="5668B0"/>
            </w:tcBorders>
          </w:tcPr>
          <w:p>
            <w:pPr>
              <w:spacing w:after="0" w:line="20" w:lineRule="exact"/>
              <w:rPr>
                <w:sz w:val="1"/>
                <w:szCs w:val="1"/>
                <w:color w:val="auto"/>
              </w:rPr>
            </w:pPr>
          </w:p>
        </w:tc>
        <w:tc>
          <w:tcPr>
            <w:tcW w:w="160" w:type="dxa"/>
            <w:vAlign w:val="bottom"/>
            <w:tcBorders>
              <w:bottom w:val="single" w:sz="8" w:color="5668B0"/>
            </w:tcBorders>
          </w:tcPr>
          <w:p>
            <w:pPr>
              <w:spacing w:after="0" w:line="20" w:lineRule="exact"/>
              <w:rPr>
                <w:sz w:val="1"/>
                <w:szCs w:val="1"/>
                <w:color w:val="auto"/>
              </w:rPr>
            </w:pPr>
          </w:p>
        </w:tc>
        <w:tc>
          <w:tcPr>
            <w:tcW w:w="6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560" w:type="dxa"/>
            <w:vAlign w:val="bottom"/>
            <w:tcBorders>
              <w:bottom w:val="single" w:sz="8" w:color="5668B0"/>
            </w:tcBorders>
          </w:tcPr>
          <w:p>
            <w:pPr>
              <w:spacing w:after="0" w:line="20" w:lineRule="exact"/>
              <w:rPr>
                <w:sz w:val="1"/>
                <w:szCs w:val="1"/>
                <w:color w:val="auto"/>
              </w:rPr>
            </w:pPr>
          </w:p>
        </w:tc>
        <w:tc>
          <w:tcPr>
            <w:tcW w:w="120" w:type="dxa"/>
            <w:vAlign w:val="bottom"/>
            <w:tcBorders>
              <w:bottom w:val="single" w:sz="8" w:color="5668B0"/>
            </w:tcBorders>
          </w:tcPr>
          <w:p>
            <w:pPr>
              <w:spacing w:after="0" w:line="20" w:lineRule="exact"/>
              <w:rPr>
                <w:sz w:val="1"/>
                <w:szCs w:val="1"/>
                <w:color w:val="auto"/>
              </w:rPr>
            </w:pPr>
          </w:p>
        </w:tc>
        <w:tc>
          <w:tcPr>
            <w:tcW w:w="240" w:type="dxa"/>
            <w:vAlign w:val="bottom"/>
            <w:tcBorders>
              <w:bottom w:val="single" w:sz="8" w:color="5668B0"/>
            </w:tcBorders>
          </w:tcPr>
          <w:p>
            <w:pPr>
              <w:spacing w:after="0" w:line="20" w:lineRule="exact"/>
              <w:rPr>
                <w:sz w:val="1"/>
                <w:szCs w:val="1"/>
                <w:color w:val="auto"/>
              </w:rPr>
            </w:pPr>
          </w:p>
        </w:tc>
        <w:tc>
          <w:tcPr>
            <w:tcW w:w="740" w:type="dxa"/>
            <w:vAlign w:val="bottom"/>
            <w:tcBorders>
              <w:bottom w:val="single" w:sz="8" w:color="5668B0"/>
            </w:tcBorders>
          </w:tcPr>
          <w:p>
            <w:pPr>
              <w:spacing w:after="0" w:line="20" w:lineRule="exact"/>
              <w:rPr>
                <w:sz w:val="1"/>
                <w:szCs w:val="1"/>
                <w:color w:val="auto"/>
              </w:rPr>
            </w:pPr>
          </w:p>
        </w:tc>
        <w:tc>
          <w:tcPr>
            <w:tcW w:w="240" w:type="dxa"/>
            <w:vAlign w:val="bottom"/>
            <w:tcBorders>
              <w:bottom w:val="single" w:sz="8" w:color="5668B0"/>
            </w:tcBorders>
          </w:tcPr>
          <w:p>
            <w:pPr>
              <w:spacing w:after="0" w:line="20" w:lineRule="exact"/>
              <w:rPr>
                <w:sz w:val="1"/>
                <w:szCs w:val="1"/>
                <w:color w:val="auto"/>
              </w:rPr>
            </w:pPr>
          </w:p>
        </w:tc>
        <w:tc>
          <w:tcPr>
            <w:tcW w:w="2720" w:type="dxa"/>
            <w:vAlign w:val="bottom"/>
            <w:tcBorders>
              <w:bottom w:val="single" w:sz="8" w:color="5668B0"/>
            </w:tcBorders>
          </w:tcPr>
          <w:p>
            <w:pPr>
              <w:spacing w:after="0" w:line="20" w:lineRule="exact"/>
              <w:rPr>
                <w:sz w:val="1"/>
                <w:szCs w:val="1"/>
                <w:color w:val="auto"/>
              </w:rPr>
            </w:pPr>
          </w:p>
        </w:tc>
        <w:tc>
          <w:tcPr>
            <w:tcW w:w="110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80" w:type="dxa"/>
            <w:vAlign w:val="bottom"/>
            <w:tcBorders>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19"/>
          </w:tcPr>
          <w:p>
            <w:pPr>
              <w:spacing w:after="0"/>
              <w:rPr>
                <w:rFonts w:ascii="Arial" w:cs="Arial" w:eastAsia="Arial" w:hAnsi="Arial"/>
                <w:sz w:val="16"/>
                <w:szCs w:val="16"/>
                <w:b w:val="1"/>
                <w:bCs w:val="1"/>
                <w:color w:val="5668B0"/>
              </w:rPr>
            </w:pPr>
            <w:hyperlink w:anchor="page89">
              <w:r>
                <w:rPr>
                  <w:rFonts w:ascii="Arial" w:cs="Arial" w:eastAsia="Arial" w:hAnsi="Arial"/>
                  <w:sz w:val="16"/>
                  <w:szCs w:val="16"/>
                  <w:b w:val="1"/>
                  <w:bCs w:val="1"/>
                  <w:color w:val="5668B0"/>
                </w:rPr>
                <w:t>Appendix A – Note Regarding Forward-Looking Statements and Non-GAAP Financial Measures; Reconciliation</w:t>
              </w:r>
            </w:hyperlink>
          </w:p>
        </w:tc>
        <w:tc>
          <w:tcPr>
            <w:tcW w:w="260" w:type="dxa"/>
            <w:vAlign w:val="bottom"/>
            <w:gridSpan w:val="2"/>
            <w:vMerge w:val="restart"/>
          </w:tcPr>
          <w:p>
            <w:pPr>
              <w:jc w:val="right"/>
              <w:spacing w:after="0"/>
              <w:rPr>
                <w:rFonts w:ascii="Arial" w:cs="Arial" w:eastAsia="Arial" w:hAnsi="Arial"/>
                <w:sz w:val="16"/>
                <w:szCs w:val="16"/>
                <w:b w:val="1"/>
                <w:bCs w:val="1"/>
                <w:color w:val="5668B0"/>
                <w:w w:val="92"/>
              </w:rPr>
            </w:pPr>
            <w:hyperlink w:anchor="page89">
              <w:r>
                <w:rPr>
                  <w:rFonts w:ascii="Arial" w:cs="Arial" w:eastAsia="Arial" w:hAnsi="Arial"/>
                  <w:sz w:val="16"/>
                  <w:szCs w:val="16"/>
                  <w:b w:val="1"/>
                  <w:bCs w:val="1"/>
                  <w:color w:val="5668B0"/>
                  <w:w w:val="92"/>
                </w:rPr>
                <w:t>A-1</w:t>
              </w:r>
            </w:hyperlink>
          </w:p>
        </w:tc>
        <w:tc>
          <w:tcPr>
            <w:tcW w:w="0" w:type="dxa"/>
            <w:vAlign w:val="bottom"/>
          </w:tcPr>
          <w:p>
            <w:pPr>
              <w:spacing w:after="0"/>
              <w:rPr>
                <w:sz w:val="1"/>
                <w:szCs w:val="1"/>
                <w:color w:val="auto"/>
              </w:rPr>
            </w:pPr>
          </w:p>
        </w:tc>
      </w:tr>
      <w:tr>
        <w:trPr>
          <w:trHeight w:val="170"/>
        </w:trPr>
        <w:tc>
          <w:tcPr>
            <w:tcW w:w="8660" w:type="dxa"/>
            <w:vAlign w:val="bottom"/>
            <w:tcBorders>
              <w:top w:val="single" w:sz="8" w:color="5668B0"/>
            </w:tcBorders>
            <w:gridSpan w:val="18"/>
          </w:tcPr>
          <w:p>
            <w:pPr>
              <w:spacing w:after="0" w:line="170" w:lineRule="exact"/>
              <w:rPr>
                <w:rFonts w:ascii="Arial" w:cs="Arial" w:eastAsia="Arial" w:hAnsi="Arial"/>
                <w:sz w:val="16"/>
                <w:szCs w:val="16"/>
                <w:b w:val="1"/>
                <w:bCs w:val="1"/>
                <w:color w:val="5668B0"/>
              </w:rPr>
            </w:pPr>
            <w:hyperlink w:anchor="page89">
              <w:r>
                <w:rPr>
                  <w:rFonts w:ascii="Arial" w:cs="Arial" w:eastAsia="Arial" w:hAnsi="Arial"/>
                  <w:sz w:val="16"/>
                  <w:szCs w:val="16"/>
                  <w:b w:val="1"/>
                  <w:bCs w:val="1"/>
                  <w:color w:val="5668B0"/>
                </w:rPr>
                <w:t>of GAAP Net Income to Non-GAAP Net Income (Unaudited)</w:t>
              </w:r>
            </w:hyperlink>
          </w:p>
        </w:tc>
        <w:tc>
          <w:tcPr>
            <w:tcW w:w="2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380" w:type="dxa"/>
            <w:vAlign w:val="bottom"/>
            <w:tcBorders>
              <w:top w:val="single" w:sz="8" w:color="5668B0"/>
              <w:bottom w:val="single" w:sz="8" w:color="5668B0"/>
            </w:tcBorders>
          </w:tcPr>
          <w:p>
            <w:pPr>
              <w:spacing w:after="0" w:line="20" w:lineRule="exact"/>
              <w:rPr>
                <w:sz w:val="1"/>
                <w:szCs w:val="1"/>
                <w:color w:val="auto"/>
              </w:rPr>
            </w:pPr>
          </w:p>
        </w:tc>
        <w:tc>
          <w:tcPr>
            <w:tcW w:w="640" w:type="dxa"/>
            <w:vAlign w:val="bottom"/>
            <w:tcBorders>
              <w:top w:val="single" w:sz="8" w:color="5668B0"/>
              <w:bottom w:val="single" w:sz="8" w:color="5668B0"/>
            </w:tcBorders>
          </w:tcPr>
          <w:p>
            <w:pPr>
              <w:spacing w:after="0" w:line="20" w:lineRule="exact"/>
              <w:rPr>
                <w:sz w:val="1"/>
                <w:szCs w:val="1"/>
                <w:color w:val="auto"/>
              </w:rPr>
            </w:pPr>
          </w:p>
        </w:tc>
        <w:tc>
          <w:tcPr>
            <w:tcW w:w="2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top w:val="single" w:sz="8" w:color="5668B0"/>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200" w:type="dxa"/>
            <w:vAlign w:val="bottom"/>
            <w:tcBorders>
              <w:top w:val="single" w:sz="8" w:color="5668B0"/>
              <w:bottom w:val="single" w:sz="8" w:color="5668B0"/>
            </w:tcBorders>
          </w:tcPr>
          <w:p>
            <w:pPr>
              <w:spacing w:after="0" w:line="20" w:lineRule="exact"/>
              <w:rPr>
                <w:sz w:val="1"/>
                <w:szCs w:val="1"/>
                <w:color w:val="auto"/>
              </w:rPr>
            </w:pPr>
          </w:p>
        </w:tc>
        <w:tc>
          <w:tcPr>
            <w:tcW w:w="160" w:type="dxa"/>
            <w:vAlign w:val="bottom"/>
            <w:tcBorders>
              <w:top w:val="single" w:sz="8" w:color="5668B0"/>
              <w:bottom w:val="single" w:sz="8" w:color="5668B0"/>
            </w:tcBorders>
          </w:tcPr>
          <w:p>
            <w:pPr>
              <w:spacing w:after="0" w:line="20" w:lineRule="exact"/>
              <w:rPr>
                <w:sz w:val="1"/>
                <w:szCs w:val="1"/>
                <w:color w:val="auto"/>
              </w:rPr>
            </w:pPr>
          </w:p>
        </w:tc>
        <w:tc>
          <w:tcPr>
            <w:tcW w:w="6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560" w:type="dxa"/>
            <w:vAlign w:val="bottom"/>
            <w:tcBorders>
              <w:top w:val="single" w:sz="8" w:color="5668B0"/>
              <w:bottom w:val="single" w:sz="8" w:color="5668B0"/>
            </w:tcBorders>
          </w:tcPr>
          <w:p>
            <w:pPr>
              <w:spacing w:after="0" w:line="20" w:lineRule="exact"/>
              <w:rPr>
                <w:sz w:val="1"/>
                <w:szCs w:val="1"/>
                <w:color w:val="auto"/>
              </w:rPr>
            </w:pPr>
          </w:p>
        </w:tc>
        <w:tc>
          <w:tcPr>
            <w:tcW w:w="120" w:type="dxa"/>
            <w:vAlign w:val="bottom"/>
            <w:tcBorders>
              <w:top w:val="single" w:sz="8" w:color="5668B0"/>
              <w:bottom w:val="single" w:sz="8" w:color="5668B0"/>
            </w:tcBorders>
          </w:tcPr>
          <w:p>
            <w:pPr>
              <w:spacing w:after="0" w:line="20" w:lineRule="exact"/>
              <w:rPr>
                <w:sz w:val="1"/>
                <w:szCs w:val="1"/>
                <w:color w:val="auto"/>
              </w:rPr>
            </w:pPr>
          </w:p>
        </w:tc>
        <w:tc>
          <w:tcPr>
            <w:tcW w:w="240" w:type="dxa"/>
            <w:vAlign w:val="bottom"/>
            <w:tcBorders>
              <w:top w:val="single" w:sz="8" w:color="5668B0"/>
              <w:bottom w:val="single" w:sz="8" w:color="5668B0"/>
            </w:tcBorders>
          </w:tcPr>
          <w:p>
            <w:pPr>
              <w:spacing w:after="0" w:line="20" w:lineRule="exact"/>
              <w:rPr>
                <w:sz w:val="1"/>
                <w:szCs w:val="1"/>
                <w:color w:val="auto"/>
              </w:rPr>
            </w:pPr>
          </w:p>
        </w:tc>
        <w:tc>
          <w:tcPr>
            <w:tcW w:w="740" w:type="dxa"/>
            <w:vAlign w:val="bottom"/>
            <w:tcBorders>
              <w:top w:val="single" w:sz="8" w:color="5668B0"/>
              <w:bottom w:val="single" w:sz="8" w:color="5668B0"/>
            </w:tcBorders>
          </w:tcPr>
          <w:p>
            <w:pPr>
              <w:spacing w:after="0" w:line="20" w:lineRule="exact"/>
              <w:rPr>
                <w:sz w:val="1"/>
                <w:szCs w:val="1"/>
                <w:color w:val="auto"/>
              </w:rPr>
            </w:pPr>
          </w:p>
        </w:tc>
        <w:tc>
          <w:tcPr>
            <w:tcW w:w="240" w:type="dxa"/>
            <w:vAlign w:val="bottom"/>
            <w:tcBorders>
              <w:bottom w:val="single" w:sz="8" w:color="5668B0"/>
            </w:tcBorders>
          </w:tcPr>
          <w:p>
            <w:pPr>
              <w:spacing w:after="0" w:line="20" w:lineRule="exact"/>
              <w:rPr>
                <w:sz w:val="1"/>
                <w:szCs w:val="1"/>
                <w:color w:val="auto"/>
              </w:rPr>
            </w:pPr>
          </w:p>
        </w:tc>
        <w:tc>
          <w:tcPr>
            <w:tcW w:w="2720" w:type="dxa"/>
            <w:vAlign w:val="bottom"/>
            <w:tcBorders>
              <w:bottom w:val="single" w:sz="8" w:color="5668B0"/>
            </w:tcBorders>
          </w:tcPr>
          <w:p>
            <w:pPr>
              <w:spacing w:after="0" w:line="20" w:lineRule="exact"/>
              <w:rPr>
                <w:sz w:val="1"/>
                <w:szCs w:val="1"/>
                <w:color w:val="auto"/>
              </w:rPr>
            </w:pPr>
          </w:p>
        </w:tc>
        <w:tc>
          <w:tcPr>
            <w:tcW w:w="1100" w:type="dxa"/>
            <w:vAlign w:val="bottom"/>
            <w:tcBorders>
              <w:bottom w:val="single" w:sz="8" w:color="5668B0"/>
            </w:tcBorders>
          </w:tcPr>
          <w:p>
            <w:pPr>
              <w:spacing w:after="0" w:line="20" w:lineRule="exact"/>
              <w:rPr>
                <w:sz w:val="1"/>
                <w:szCs w:val="1"/>
                <w:color w:val="auto"/>
              </w:rPr>
            </w:pPr>
          </w:p>
        </w:tc>
        <w:tc>
          <w:tcPr>
            <w:tcW w:w="220" w:type="dxa"/>
            <w:vAlign w:val="bottom"/>
            <w:tcBorders>
              <w:bottom w:val="single" w:sz="8" w:color="5668B0"/>
            </w:tcBorders>
          </w:tcPr>
          <w:p>
            <w:pPr>
              <w:spacing w:after="0" w:line="20" w:lineRule="exact"/>
              <w:rPr>
                <w:sz w:val="1"/>
                <w:szCs w:val="1"/>
                <w:color w:val="auto"/>
              </w:rPr>
            </w:pPr>
          </w:p>
        </w:tc>
        <w:tc>
          <w:tcPr>
            <w:tcW w:w="80" w:type="dxa"/>
            <w:vAlign w:val="bottom"/>
            <w:tcBorders>
              <w:top w:val="single" w:sz="8" w:color="5668B0"/>
              <w:bottom w:val="single" w:sz="8" w:color="5668B0"/>
            </w:tcBorders>
          </w:tcPr>
          <w:p>
            <w:pPr>
              <w:spacing w:after="0" w:line="20" w:lineRule="exact"/>
              <w:rPr>
                <w:sz w:val="1"/>
                <w:szCs w:val="1"/>
                <w:color w:val="auto"/>
              </w:rPr>
            </w:pPr>
          </w:p>
        </w:tc>
        <w:tc>
          <w:tcPr>
            <w:tcW w:w="180" w:type="dxa"/>
            <w:vAlign w:val="bottom"/>
            <w:tcBorders>
              <w:top w:val="single" w:sz="8" w:color="5668B0"/>
              <w:bottom w:val="single" w:sz="8" w:color="5668B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126365</wp:posOffset>
            </wp:positionV>
            <wp:extent cx="7316470" cy="1226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647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Forward-Looking Statements and Non-GAAP Financial Measures</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See Appendix A for important information regarding forward-looking statements and financial measures not calculated in accordance with U.S. Gene Accepted Accounting Principles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512445</wp:posOffset>
            </wp:positionV>
            <wp:extent cx="642620" cy="193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512445</wp:posOffset>
            </wp:positionV>
            <wp:extent cx="8255" cy="193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40" w:hanging="698"/>
        <w:spacing w:after="0"/>
        <w:tabs>
          <w:tab w:leader="none" w:pos="740" w:val="left"/>
        </w:tabs>
        <w:numPr>
          <w:ilvl w:val="0"/>
          <w:numId w:val="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71755</wp:posOffset>
            </wp:positionV>
            <wp:extent cx="725995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00"/>
          </w:cols>
          <w:pgMar w:left="660" w:top="348" w:right="1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Proxy Summary</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(see "General Information about the Meeting" on</w:t>
      </w:r>
      <w:r>
        <w:rPr>
          <w:rFonts w:ascii="Arial" w:cs="Arial" w:eastAsia="Arial" w:hAnsi="Arial"/>
          <w:sz w:val="16"/>
          <w:szCs w:val="16"/>
          <w:b w:val="1"/>
          <w:bCs w:val="1"/>
          <w:color w:val="auto"/>
        </w:rPr>
        <w:t xml:space="preserve"> </w:t>
      </w:r>
      <w:r>
        <w:rPr>
          <w:rFonts w:ascii="Arial" w:cs="Arial" w:eastAsia="Arial" w:hAnsi="Arial"/>
          <w:sz w:val="16"/>
          <w:szCs w:val="16"/>
          <w:color w:val="auto"/>
        </w:rPr>
        <w:t>page 6 for more information)</w:t>
      </w:r>
    </w:p>
    <w:p>
      <w:pPr>
        <w:spacing w:after="0" w:line="55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shd w:val="clear" w:color="auto" w:fill="E6ECF8"/>
          </w:tcPr>
          <w:p>
            <w:pPr>
              <w:spacing w:after="0"/>
              <w:rPr>
                <w:sz w:val="20"/>
                <w:szCs w:val="20"/>
                <w:color w:val="auto"/>
              </w:rPr>
            </w:pPr>
            <w:r>
              <w:rPr>
                <w:rFonts w:ascii="Arial" w:cs="Arial" w:eastAsia="Arial" w:hAnsi="Arial"/>
                <w:sz w:val="16"/>
                <w:szCs w:val="16"/>
                <w:color w:val="auto"/>
              </w:rPr>
              <w:t>Date:</w:t>
            </w:r>
          </w:p>
        </w:tc>
        <w:tc>
          <w:tcPr>
            <w:tcW w:w="10060" w:type="dxa"/>
            <w:vAlign w:val="bottom"/>
            <w:shd w:val="clear" w:color="auto" w:fill="E6ECF8"/>
          </w:tcPr>
          <w:p>
            <w:pPr>
              <w:ind w:left="400"/>
              <w:spacing w:after="0"/>
              <w:rPr>
                <w:sz w:val="20"/>
                <w:szCs w:val="20"/>
                <w:color w:val="auto"/>
              </w:rPr>
            </w:pPr>
            <w:r>
              <w:rPr>
                <w:rFonts w:ascii="Arial" w:cs="Arial" w:eastAsia="Arial" w:hAnsi="Arial"/>
                <w:sz w:val="16"/>
                <w:szCs w:val="16"/>
                <w:color w:val="auto"/>
              </w:rPr>
              <w:t>June 10, 2016</w:t>
            </w:r>
          </w:p>
        </w:tc>
      </w:tr>
      <w:tr>
        <w:trPr>
          <w:trHeight w:val="190"/>
        </w:trPr>
        <w:tc>
          <w:tcPr>
            <w:tcW w:w="1360" w:type="dxa"/>
            <w:vAlign w:val="bottom"/>
            <w:shd w:val="clear" w:color="auto" w:fill="D0DBEF"/>
          </w:tcPr>
          <w:p>
            <w:pPr>
              <w:spacing w:after="0"/>
              <w:rPr>
                <w:sz w:val="20"/>
                <w:szCs w:val="20"/>
                <w:color w:val="auto"/>
              </w:rPr>
            </w:pPr>
            <w:r>
              <w:rPr>
                <w:rFonts w:ascii="Arial" w:cs="Arial" w:eastAsia="Arial" w:hAnsi="Arial"/>
                <w:sz w:val="16"/>
                <w:szCs w:val="16"/>
                <w:color w:val="auto"/>
              </w:rPr>
              <w:t>Time:</w:t>
            </w:r>
          </w:p>
        </w:tc>
        <w:tc>
          <w:tcPr>
            <w:tcW w:w="10060" w:type="dxa"/>
            <w:vAlign w:val="bottom"/>
            <w:shd w:val="clear" w:color="auto" w:fill="D0DBEF"/>
          </w:tcPr>
          <w:p>
            <w:pPr>
              <w:ind w:left="400"/>
              <w:spacing w:after="0"/>
              <w:rPr>
                <w:sz w:val="20"/>
                <w:szCs w:val="20"/>
                <w:color w:val="auto"/>
              </w:rPr>
            </w:pPr>
            <w:r>
              <w:rPr>
                <w:rFonts w:ascii="Arial" w:cs="Arial" w:eastAsia="Arial" w:hAnsi="Arial"/>
                <w:sz w:val="16"/>
                <w:szCs w:val="16"/>
                <w:color w:val="auto"/>
              </w:rPr>
              <w:t>10:30 a.m., Eastern Time</w:t>
            </w:r>
          </w:p>
        </w:tc>
      </w:tr>
      <w:tr>
        <w:trPr>
          <w:trHeight w:val="190"/>
        </w:trPr>
        <w:tc>
          <w:tcPr>
            <w:tcW w:w="1360" w:type="dxa"/>
            <w:vAlign w:val="bottom"/>
            <w:shd w:val="clear" w:color="auto" w:fill="E6ECF8"/>
          </w:tcPr>
          <w:p>
            <w:pPr>
              <w:spacing w:after="0"/>
              <w:rPr>
                <w:sz w:val="20"/>
                <w:szCs w:val="20"/>
                <w:color w:val="auto"/>
              </w:rPr>
            </w:pPr>
            <w:r>
              <w:rPr>
                <w:rFonts w:ascii="Arial" w:cs="Arial" w:eastAsia="Arial" w:hAnsi="Arial"/>
                <w:sz w:val="16"/>
                <w:szCs w:val="16"/>
                <w:color w:val="auto"/>
              </w:rPr>
              <w:t>Place:</w:t>
            </w:r>
          </w:p>
        </w:tc>
        <w:tc>
          <w:tcPr>
            <w:tcW w:w="10060" w:type="dxa"/>
            <w:vAlign w:val="bottom"/>
            <w:shd w:val="clear" w:color="auto" w:fill="E6ECF8"/>
          </w:tcPr>
          <w:p>
            <w:pPr>
              <w:ind w:left="400"/>
              <w:spacing w:after="0"/>
              <w:rPr>
                <w:sz w:val="20"/>
                <w:szCs w:val="20"/>
                <w:color w:val="auto"/>
              </w:rPr>
            </w:pPr>
            <w:r>
              <w:rPr>
                <w:rFonts w:ascii="Arial" w:cs="Arial" w:eastAsia="Arial" w:hAnsi="Arial"/>
                <w:sz w:val="16"/>
                <w:szCs w:val="16"/>
                <w:color w:val="auto"/>
              </w:rPr>
              <w:t>Westchester Marriott Hotel, 670 White Plains Road, Tarrytown, New York 10591</w:t>
            </w:r>
          </w:p>
        </w:tc>
      </w:tr>
      <w:tr>
        <w:trPr>
          <w:trHeight w:val="190"/>
        </w:trPr>
        <w:tc>
          <w:tcPr>
            <w:tcW w:w="1360" w:type="dxa"/>
            <w:vAlign w:val="bottom"/>
            <w:shd w:val="clear" w:color="auto" w:fill="D0DBEF"/>
          </w:tcPr>
          <w:p>
            <w:pPr>
              <w:spacing w:after="0"/>
              <w:rPr>
                <w:sz w:val="20"/>
                <w:szCs w:val="20"/>
                <w:color w:val="auto"/>
              </w:rPr>
            </w:pPr>
            <w:r>
              <w:rPr>
                <w:rFonts w:ascii="Arial" w:cs="Arial" w:eastAsia="Arial" w:hAnsi="Arial"/>
                <w:sz w:val="16"/>
                <w:szCs w:val="16"/>
                <w:color w:val="auto"/>
              </w:rPr>
              <w:t>Record Date:</w:t>
            </w:r>
          </w:p>
        </w:tc>
        <w:tc>
          <w:tcPr>
            <w:tcW w:w="10060" w:type="dxa"/>
            <w:vAlign w:val="bottom"/>
            <w:shd w:val="clear" w:color="auto" w:fill="D0DBEF"/>
          </w:tcPr>
          <w:p>
            <w:pPr>
              <w:ind w:left="400"/>
              <w:spacing w:after="0"/>
              <w:rPr>
                <w:sz w:val="20"/>
                <w:szCs w:val="20"/>
                <w:color w:val="auto"/>
              </w:rPr>
            </w:pPr>
            <w:r>
              <w:rPr>
                <w:rFonts w:ascii="Arial" w:cs="Arial" w:eastAsia="Arial" w:hAnsi="Arial"/>
                <w:sz w:val="16"/>
                <w:szCs w:val="16"/>
                <w:color w:val="auto"/>
              </w:rPr>
              <w:t>April 14, 2016</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 Agenda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shd w:val="clear" w:color="auto" w:fill="5668B0"/>
          </w:tcPr>
          <w:p>
            <w:pPr>
              <w:spacing w:after="0"/>
              <w:rPr>
                <w:sz w:val="13"/>
                <w:szCs w:val="13"/>
                <w:color w:val="auto"/>
              </w:rPr>
            </w:pPr>
          </w:p>
        </w:tc>
        <w:tc>
          <w:tcPr>
            <w:tcW w:w="9700" w:type="dxa"/>
            <w:vAlign w:val="bottom"/>
            <w:shd w:val="clear" w:color="auto" w:fill="5668B0"/>
          </w:tcPr>
          <w:p>
            <w:pPr>
              <w:spacing w:after="0"/>
              <w:rPr>
                <w:sz w:val="13"/>
                <w:szCs w:val="13"/>
                <w:color w:val="auto"/>
              </w:rPr>
            </w:pPr>
          </w:p>
        </w:tc>
        <w:tc>
          <w:tcPr>
            <w:tcW w:w="1480" w:type="dxa"/>
            <w:vAlign w:val="bottom"/>
            <w:shd w:val="clear" w:color="auto" w:fill="5668B0"/>
          </w:tcPr>
          <w:p>
            <w:pPr>
              <w:jc w:val="right"/>
              <w:spacing w:after="0"/>
              <w:rPr>
                <w:sz w:val="20"/>
                <w:szCs w:val="20"/>
                <w:color w:val="auto"/>
              </w:rPr>
            </w:pPr>
            <w:r>
              <w:rPr>
                <w:rFonts w:ascii="Arial" w:cs="Arial" w:eastAsia="Arial" w:hAnsi="Arial"/>
                <w:sz w:val="13"/>
                <w:szCs w:val="13"/>
                <w:b w:val="1"/>
                <w:bCs w:val="1"/>
                <w:color w:val="FFFFFE"/>
              </w:rPr>
              <w:t>Board Vote</w:t>
            </w:r>
          </w:p>
        </w:tc>
      </w:tr>
      <w:tr>
        <w:trPr>
          <w:trHeight w:val="163"/>
        </w:trPr>
        <w:tc>
          <w:tcPr>
            <w:tcW w:w="9940" w:type="dxa"/>
            <w:vAlign w:val="bottom"/>
            <w:gridSpan w:val="2"/>
            <w:shd w:val="clear" w:color="auto" w:fill="5668B0"/>
          </w:tcPr>
          <w:p>
            <w:pPr>
              <w:spacing w:after="0"/>
              <w:rPr>
                <w:sz w:val="20"/>
                <w:szCs w:val="20"/>
                <w:color w:val="auto"/>
              </w:rPr>
            </w:pPr>
            <w:r>
              <w:rPr>
                <w:rFonts w:ascii="Arial" w:cs="Arial" w:eastAsia="Arial" w:hAnsi="Arial"/>
                <w:sz w:val="13"/>
                <w:szCs w:val="13"/>
                <w:b w:val="1"/>
                <w:bCs w:val="1"/>
                <w:color w:val="FFFFFE"/>
              </w:rPr>
              <w:t>Matter</w:t>
            </w:r>
          </w:p>
        </w:tc>
        <w:tc>
          <w:tcPr>
            <w:tcW w:w="1480" w:type="dxa"/>
            <w:vAlign w:val="bottom"/>
            <w:shd w:val="clear" w:color="auto" w:fill="5668B0"/>
          </w:tcPr>
          <w:p>
            <w:pPr>
              <w:jc w:val="right"/>
              <w:spacing w:after="0"/>
              <w:rPr>
                <w:sz w:val="20"/>
                <w:szCs w:val="20"/>
                <w:color w:val="auto"/>
              </w:rPr>
            </w:pPr>
            <w:r>
              <w:rPr>
                <w:rFonts w:ascii="Arial" w:cs="Arial" w:eastAsia="Arial" w:hAnsi="Arial"/>
                <w:sz w:val="13"/>
                <w:szCs w:val="13"/>
                <w:b w:val="1"/>
                <w:bCs w:val="1"/>
                <w:color w:val="FFFFFE"/>
              </w:rPr>
              <w:t>Recommendation</w:t>
            </w:r>
          </w:p>
        </w:tc>
      </w:tr>
      <w:tr>
        <w:trPr>
          <w:trHeight w:val="193"/>
        </w:trPr>
        <w:tc>
          <w:tcPr>
            <w:tcW w:w="240" w:type="dxa"/>
            <w:vAlign w:val="bottom"/>
            <w:shd w:val="clear" w:color="auto" w:fill="E6ECF8"/>
          </w:tcPr>
          <w:p>
            <w:pPr>
              <w:spacing w:after="0"/>
              <w:rPr>
                <w:sz w:val="20"/>
                <w:szCs w:val="20"/>
                <w:color w:val="auto"/>
              </w:rPr>
            </w:pPr>
            <w:r>
              <w:rPr>
                <w:rFonts w:ascii="Arial" w:cs="Arial" w:eastAsia="Arial" w:hAnsi="Arial"/>
                <w:sz w:val="16"/>
                <w:szCs w:val="16"/>
                <w:color w:val="auto"/>
              </w:rPr>
              <w:t>1.</w:t>
            </w:r>
          </w:p>
        </w:tc>
        <w:tc>
          <w:tcPr>
            <w:tcW w:w="9700" w:type="dxa"/>
            <w:vAlign w:val="bottom"/>
            <w:shd w:val="clear" w:color="auto" w:fill="E6ECF8"/>
          </w:tcPr>
          <w:p>
            <w:pPr>
              <w:ind w:left="100"/>
              <w:spacing w:after="0"/>
              <w:rPr>
                <w:sz w:val="20"/>
                <w:szCs w:val="20"/>
                <w:color w:val="auto"/>
              </w:rPr>
            </w:pPr>
            <w:r>
              <w:rPr>
                <w:rFonts w:ascii="Arial" w:cs="Arial" w:eastAsia="Arial" w:hAnsi="Arial"/>
                <w:sz w:val="16"/>
                <w:szCs w:val="16"/>
                <w:color w:val="auto"/>
              </w:rPr>
              <w:t>Election of three Class I directors for a term of three years</w:t>
            </w:r>
          </w:p>
        </w:tc>
        <w:tc>
          <w:tcPr>
            <w:tcW w:w="14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For each director</w:t>
            </w:r>
          </w:p>
        </w:tc>
      </w:tr>
      <w:tr>
        <w:trPr>
          <w:trHeight w:val="187"/>
        </w:trPr>
        <w:tc>
          <w:tcPr>
            <w:tcW w:w="240" w:type="dxa"/>
            <w:vAlign w:val="bottom"/>
            <w:shd w:val="clear" w:color="auto" w:fill="E6ECF8"/>
          </w:tcPr>
          <w:p>
            <w:pPr>
              <w:spacing w:after="0"/>
              <w:rPr>
                <w:sz w:val="16"/>
                <w:szCs w:val="16"/>
                <w:color w:val="auto"/>
              </w:rPr>
            </w:pPr>
          </w:p>
        </w:tc>
        <w:tc>
          <w:tcPr>
            <w:tcW w:w="9700" w:type="dxa"/>
            <w:vAlign w:val="bottom"/>
            <w:shd w:val="clear" w:color="auto" w:fill="E6ECF8"/>
          </w:tcPr>
          <w:p>
            <w:pPr>
              <w:spacing w:after="0"/>
              <w:rPr>
                <w:sz w:val="16"/>
                <w:szCs w:val="16"/>
                <w:color w:val="auto"/>
              </w:rPr>
            </w:pPr>
          </w:p>
        </w:tc>
        <w:tc>
          <w:tcPr>
            <w:tcW w:w="14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nominee</w:t>
            </w:r>
          </w:p>
        </w:tc>
      </w:tr>
      <w:tr>
        <w:trPr>
          <w:trHeight w:val="193"/>
        </w:trPr>
        <w:tc>
          <w:tcPr>
            <w:tcW w:w="240" w:type="dxa"/>
            <w:vAlign w:val="bottom"/>
            <w:shd w:val="clear" w:color="auto" w:fill="D0DBEF"/>
          </w:tcPr>
          <w:p>
            <w:pPr>
              <w:spacing w:after="0"/>
              <w:rPr>
                <w:sz w:val="20"/>
                <w:szCs w:val="20"/>
                <w:color w:val="auto"/>
              </w:rPr>
            </w:pPr>
            <w:r>
              <w:rPr>
                <w:rFonts w:ascii="Arial" w:cs="Arial" w:eastAsia="Arial" w:hAnsi="Arial"/>
                <w:sz w:val="16"/>
                <w:szCs w:val="16"/>
                <w:color w:val="auto"/>
              </w:rPr>
              <w:t>2.</w:t>
            </w:r>
          </w:p>
        </w:tc>
        <w:tc>
          <w:tcPr>
            <w:tcW w:w="9700" w:type="dxa"/>
            <w:vAlign w:val="bottom"/>
            <w:shd w:val="clear" w:color="auto" w:fill="D0DBEF"/>
          </w:tcPr>
          <w:p>
            <w:pPr>
              <w:ind w:left="100"/>
              <w:spacing w:after="0"/>
              <w:rPr>
                <w:sz w:val="20"/>
                <w:szCs w:val="20"/>
                <w:color w:val="auto"/>
              </w:rPr>
            </w:pPr>
            <w:r>
              <w:rPr>
                <w:rFonts w:ascii="Arial" w:cs="Arial" w:eastAsia="Arial" w:hAnsi="Arial"/>
                <w:sz w:val="16"/>
                <w:szCs w:val="16"/>
                <w:color w:val="auto"/>
              </w:rPr>
              <w:t>Ratification of the appointment of PricewaterhouseCoopers LLP as the Company's independent registered public accounting firm</w:t>
            </w:r>
          </w:p>
        </w:tc>
        <w:tc>
          <w:tcPr>
            <w:tcW w:w="14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For</w:t>
            </w:r>
          </w:p>
        </w:tc>
      </w:tr>
      <w:tr>
        <w:trPr>
          <w:trHeight w:val="187"/>
        </w:trPr>
        <w:tc>
          <w:tcPr>
            <w:tcW w:w="240" w:type="dxa"/>
            <w:vAlign w:val="bottom"/>
            <w:shd w:val="clear" w:color="auto" w:fill="D0DBEF"/>
          </w:tcPr>
          <w:p>
            <w:pPr>
              <w:spacing w:after="0"/>
              <w:rPr>
                <w:sz w:val="16"/>
                <w:szCs w:val="16"/>
                <w:color w:val="auto"/>
              </w:rPr>
            </w:pPr>
          </w:p>
        </w:tc>
        <w:tc>
          <w:tcPr>
            <w:tcW w:w="9700" w:type="dxa"/>
            <w:vAlign w:val="bottom"/>
            <w:shd w:val="clear" w:color="auto" w:fill="D0DBEF"/>
          </w:tcPr>
          <w:p>
            <w:pPr>
              <w:ind w:left="100"/>
              <w:spacing w:after="0"/>
              <w:rPr>
                <w:sz w:val="20"/>
                <w:szCs w:val="20"/>
                <w:color w:val="auto"/>
              </w:rPr>
            </w:pPr>
            <w:r>
              <w:rPr>
                <w:rFonts w:ascii="Arial" w:cs="Arial" w:eastAsia="Arial" w:hAnsi="Arial"/>
                <w:sz w:val="16"/>
                <w:szCs w:val="16"/>
                <w:color w:val="auto"/>
              </w:rPr>
              <w:t>for the fiscal year ending December 31, 2016</w:t>
            </w:r>
          </w:p>
        </w:tc>
        <w:tc>
          <w:tcPr>
            <w:tcW w:w="1480" w:type="dxa"/>
            <w:vAlign w:val="bottom"/>
            <w:shd w:val="clear" w:color="auto" w:fill="D0DBEF"/>
          </w:tcPr>
          <w:p>
            <w:pPr>
              <w:spacing w:after="0"/>
              <w:rPr>
                <w:sz w:val="16"/>
                <w:szCs w:val="16"/>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Proposal No. 1 – Our Director Nominees </w:t>
      </w:r>
      <w:r>
        <w:rPr>
          <w:rFonts w:ascii="Arial" w:cs="Arial" w:eastAsia="Arial" w:hAnsi="Arial"/>
          <w:sz w:val="16"/>
          <w:szCs w:val="16"/>
          <w:color w:val="auto"/>
        </w:rPr>
        <w:t>(see "Proposal No. 1: Election of Directors" on page 10 for more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individuals have been nominated for election at the 2016 Annual Meeting: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gridSpan w:val="2"/>
            <w:shd w:val="clear" w:color="auto" w:fill="5668B0"/>
          </w:tcPr>
          <w:p>
            <w:pPr>
              <w:spacing w:after="0"/>
              <w:rPr>
                <w:sz w:val="20"/>
                <w:szCs w:val="20"/>
                <w:color w:val="auto"/>
              </w:rPr>
            </w:pPr>
            <w:r>
              <w:rPr>
                <w:rFonts w:ascii="Arial" w:cs="Arial" w:eastAsia="Arial" w:hAnsi="Arial"/>
                <w:sz w:val="13"/>
                <w:szCs w:val="13"/>
                <w:b w:val="1"/>
                <w:bCs w:val="1"/>
                <w:color w:val="FFFFFE"/>
              </w:rPr>
              <w:t>Director</w:t>
            </w:r>
          </w:p>
        </w:tc>
        <w:tc>
          <w:tcPr>
            <w:tcW w:w="460" w:type="dxa"/>
            <w:vAlign w:val="bottom"/>
            <w:vMerge w:val="restart"/>
            <w:shd w:val="clear" w:color="auto" w:fill="5668B0"/>
          </w:tcPr>
          <w:p>
            <w:pPr>
              <w:jc w:val="center"/>
              <w:spacing w:after="0"/>
              <w:rPr>
                <w:sz w:val="20"/>
                <w:szCs w:val="20"/>
                <w:color w:val="auto"/>
              </w:rPr>
            </w:pPr>
            <w:r>
              <w:rPr>
                <w:rFonts w:ascii="Arial" w:cs="Arial" w:eastAsia="Arial" w:hAnsi="Arial"/>
                <w:sz w:val="13"/>
                <w:szCs w:val="13"/>
                <w:b w:val="1"/>
                <w:bCs w:val="1"/>
                <w:color w:val="FFFFFE"/>
                <w:w w:val="98"/>
              </w:rPr>
              <w:t>Age</w:t>
            </w:r>
            <w:r>
              <w:rPr>
                <w:rFonts w:ascii="Arial" w:cs="Arial" w:eastAsia="Arial" w:hAnsi="Arial"/>
                <w:sz w:val="10"/>
                <w:szCs w:val="10"/>
                <w:b w:val="1"/>
                <w:bCs w:val="1"/>
                <w:color w:val="FFFFFE"/>
                <w:w w:val="98"/>
              </w:rPr>
              <w:t>*</w:t>
            </w:r>
          </w:p>
        </w:tc>
        <w:tc>
          <w:tcPr>
            <w:tcW w:w="680" w:type="dxa"/>
            <w:vAlign w:val="bottom"/>
            <w:shd w:val="clear" w:color="auto" w:fill="5668B0"/>
          </w:tcPr>
          <w:p>
            <w:pPr>
              <w:jc w:val="center"/>
              <w:spacing w:after="0"/>
              <w:rPr>
                <w:sz w:val="20"/>
                <w:szCs w:val="20"/>
                <w:color w:val="auto"/>
              </w:rPr>
            </w:pPr>
            <w:r>
              <w:rPr>
                <w:rFonts w:ascii="Arial" w:cs="Arial" w:eastAsia="Arial" w:hAnsi="Arial"/>
                <w:sz w:val="13"/>
                <w:szCs w:val="13"/>
                <w:b w:val="1"/>
                <w:bCs w:val="1"/>
                <w:color w:val="FFFFFE"/>
              </w:rPr>
              <w:t>Director</w:t>
            </w:r>
          </w:p>
        </w:tc>
        <w:tc>
          <w:tcPr>
            <w:tcW w:w="5340" w:type="dxa"/>
            <w:vAlign w:val="bottom"/>
            <w:tcBorders>
              <w:right w:val="single" w:sz="8" w:color="5668B0"/>
            </w:tcBorders>
            <w:shd w:val="clear" w:color="auto" w:fill="5668B0"/>
          </w:tcPr>
          <w:p>
            <w:pPr>
              <w:spacing w:after="0"/>
              <w:rPr>
                <w:sz w:val="13"/>
                <w:szCs w:val="13"/>
                <w:color w:val="auto"/>
              </w:rPr>
            </w:pPr>
          </w:p>
        </w:tc>
        <w:tc>
          <w:tcPr>
            <w:tcW w:w="500" w:type="dxa"/>
            <w:vAlign w:val="bottom"/>
            <w:shd w:val="clear" w:color="auto" w:fill="5668B0"/>
          </w:tcPr>
          <w:p>
            <w:pPr>
              <w:spacing w:after="0"/>
              <w:rPr>
                <w:sz w:val="13"/>
                <w:szCs w:val="13"/>
                <w:color w:val="auto"/>
              </w:rPr>
            </w:pPr>
          </w:p>
        </w:tc>
        <w:tc>
          <w:tcPr>
            <w:tcW w:w="1380" w:type="dxa"/>
            <w:vAlign w:val="bottom"/>
            <w:shd w:val="clear" w:color="auto" w:fill="5668B0"/>
          </w:tcPr>
          <w:p>
            <w:pPr>
              <w:spacing w:after="0"/>
              <w:rPr>
                <w:sz w:val="13"/>
                <w:szCs w:val="13"/>
                <w:color w:val="auto"/>
              </w:rPr>
            </w:pPr>
          </w:p>
        </w:tc>
        <w:tc>
          <w:tcPr>
            <w:tcW w:w="120" w:type="dxa"/>
            <w:vAlign w:val="bottom"/>
            <w:shd w:val="clear" w:color="auto" w:fill="5668B0"/>
          </w:tcPr>
          <w:p>
            <w:pPr>
              <w:spacing w:after="0"/>
              <w:rPr>
                <w:sz w:val="13"/>
                <w:szCs w:val="13"/>
                <w:color w:val="auto"/>
              </w:rPr>
            </w:pPr>
          </w:p>
        </w:tc>
        <w:tc>
          <w:tcPr>
            <w:tcW w:w="1000" w:type="dxa"/>
            <w:vAlign w:val="bottom"/>
            <w:shd w:val="clear" w:color="auto" w:fill="5668B0"/>
          </w:tcPr>
          <w:p>
            <w:pPr>
              <w:jc w:val="center"/>
              <w:spacing w:after="0"/>
              <w:rPr>
                <w:sz w:val="20"/>
                <w:szCs w:val="20"/>
                <w:color w:val="auto"/>
              </w:rPr>
            </w:pPr>
            <w:r>
              <w:rPr>
                <w:rFonts w:ascii="Arial" w:cs="Arial" w:eastAsia="Arial" w:hAnsi="Arial"/>
                <w:sz w:val="13"/>
                <w:szCs w:val="13"/>
                <w:b w:val="1"/>
                <w:bCs w:val="1"/>
                <w:color w:val="FFFFFE"/>
              </w:rPr>
              <w:t>Committee</w:t>
            </w:r>
          </w:p>
        </w:tc>
        <w:tc>
          <w:tcPr>
            <w:tcW w:w="0" w:type="dxa"/>
            <w:vAlign w:val="bottom"/>
          </w:tcPr>
          <w:p>
            <w:pPr>
              <w:spacing w:after="0"/>
              <w:rPr>
                <w:sz w:val="1"/>
                <w:szCs w:val="1"/>
                <w:color w:val="auto"/>
              </w:rPr>
            </w:pPr>
          </w:p>
        </w:tc>
      </w:tr>
      <w:tr>
        <w:trPr>
          <w:trHeight w:val="163"/>
        </w:trPr>
        <w:tc>
          <w:tcPr>
            <w:tcW w:w="500" w:type="dxa"/>
            <w:vAlign w:val="bottom"/>
            <w:shd w:val="clear" w:color="auto" w:fill="5668B0"/>
          </w:tcPr>
          <w:p>
            <w:pPr>
              <w:spacing w:after="0"/>
              <w:rPr>
                <w:sz w:val="20"/>
                <w:szCs w:val="20"/>
                <w:color w:val="auto"/>
              </w:rPr>
            </w:pPr>
            <w:r>
              <w:rPr>
                <w:rFonts w:ascii="Arial" w:cs="Arial" w:eastAsia="Arial" w:hAnsi="Arial"/>
                <w:sz w:val="13"/>
                <w:szCs w:val="13"/>
                <w:b w:val="1"/>
                <w:bCs w:val="1"/>
                <w:color w:val="FFFFFE"/>
              </w:rPr>
              <w:t>Class</w:t>
            </w:r>
          </w:p>
        </w:tc>
        <w:tc>
          <w:tcPr>
            <w:tcW w:w="1440" w:type="dxa"/>
            <w:vAlign w:val="bottom"/>
            <w:shd w:val="clear" w:color="auto" w:fill="5668B0"/>
          </w:tcPr>
          <w:p>
            <w:pPr>
              <w:ind w:left="620"/>
              <w:spacing w:after="0"/>
              <w:rPr>
                <w:sz w:val="20"/>
                <w:szCs w:val="20"/>
                <w:color w:val="auto"/>
              </w:rPr>
            </w:pPr>
            <w:r>
              <w:rPr>
                <w:rFonts w:ascii="Arial" w:cs="Arial" w:eastAsia="Arial" w:hAnsi="Arial"/>
                <w:sz w:val="13"/>
                <w:szCs w:val="13"/>
                <w:b w:val="1"/>
                <w:bCs w:val="1"/>
                <w:color w:val="FFFFFE"/>
              </w:rPr>
              <w:t>Name</w:t>
            </w:r>
          </w:p>
        </w:tc>
        <w:tc>
          <w:tcPr>
            <w:tcW w:w="460" w:type="dxa"/>
            <w:vAlign w:val="bottom"/>
            <w:vMerge w:val="continue"/>
            <w:shd w:val="clear" w:color="auto" w:fill="5668B0"/>
          </w:tcPr>
          <w:p>
            <w:pPr>
              <w:spacing w:after="0"/>
              <w:rPr>
                <w:sz w:val="14"/>
                <w:szCs w:val="14"/>
                <w:color w:val="auto"/>
              </w:rPr>
            </w:pPr>
          </w:p>
        </w:tc>
        <w:tc>
          <w:tcPr>
            <w:tcW w:w="680" w:type="dxa"/>
            <w:vAlign w:val="bottom"/>
            <w:shd w:val="clear" w:color="auto" w:fill="5668B0"/>
          </w:tcPr>
          <w:p>
            <w:pPr>
              <w:jc w:val="center"/>
              <w:spacing w:after="0"/>
              <w:rPr>
                <w:sz w:val="20"/>
                <w:szCs w:val="20"/>
                <w:color w:val="auto"/>
              </w:rPr>
            </w:pPr>
            <w:r>
              <w:rPr>
                <w:rFonts w:ascii="Arial" w:cs="Arial" w:eastAsia="Arial" w:hAnsi="Arial"/>
                <w:sz w:val="13"/>
                <w:szCs w:val="13"/>
                <w:b w:val="1"/>
                <w:bCs w:val="1"/>
                <w:color w:val="FFFFFE"/>
              </w:rPr>
              <w:t>Since</w:t>
            </w:r>
          </w:p>
        </w:tc>
        <w:tc>
          <w:tcPr>
            <w:tcW w:w="5840" w:type="dxa"/>
            <w:vAlign w:val="bottom"/>
            <w:gridSpan w:val="2"/>
            <w:shd w:val="clear" w:color="auto" w:fill="5668B0"/>
          </w:tcPr>
          <w:p>
            <w:pPr>
              <w:ind w:left="2760"/>
              <w:spacing w:after="0"/>
              <w:rPr>
                <w:sz w:val="20"/>
                <w:szCs w:val="20"/>
                <w:color w:val="auto"/>
              </w:rPr>
            </w:pPr>
            <w:r>
              <w:rPr>
                <w:rFonts w:ascii="Arial" w:cs="Arial" w:eastAsia="Arial" w:hAnsi="Arial"/>
                <w:sz w:val="13"/>
                <w:szCs w:val="13"/>
                <w:b w:val="1"/>
                <w:bCs w:val="1"/>
                <w:color w:val="FFFFFE"/>
              </w:rPr>
              <w:t>Occupation</w:t>
            </w:r>
          </w:p>
        </w:tc>
        <w:tc>
          <w:tcPr>
            <w:tcW w:w="1380" w:type="dxa"/>
            <w:vAlign w:val="bottom"/>
            <w:shd w:val="clear" w:color="auto" w:fill="5668B0"/>
          </w:tcPr>
          <w:p>
            <w:pPr>
              <w:jc w:val="center"/>
              <w:ind w:left="303"/>
              <w:spacing w:after="0"/>
              <w:rPr>
                <w:sz w:val="20"/>
                <w:szCs w:val="20"/>
                <w:color w:val="auto"/>
              </w:rPr>
            </w:pPr>
            <w:r>
              <w:rPr>
                <w:rFonts w:ascii="Arial" w:cs="Arial" w:eastAsia="Arial" w:hAnsi="Arial"/>
                <w:sz w:val="13"/>
                <w:szCs w:val="13"/>
                <w:b w:val="1"/>
                <w:bCs w:val="1"/>
                <w:color w:val="FFFFFE"/>
              </w:rPr>
              <w:t>Independent</w:t>
            </w:r>
          </w:p>
        </w:tc>
        <w:tc>
          <w:tcPr>
            <w:tcW w:w="120" w:type="dxa"/>
            <w:vAlign w:val="bottom"/>
            <w:shd w:val="clear" w:color="auto" w:fill="5668B0"/>
          </w:tcPr>
          <w:p>
            <w:pPr>
              <w:spacing w:after="0"/>
              <w:rPr>
                <w:sz w:val="14"/>
                <w:szCs w:val="14"/>
                <w:color w:val="auto"/>
              </w:rPr>
            </w:pPr>
          </w:p>
        </w:tc>
        <w:tc>
          <w:tcPr>
            <w:tcW w:w="1000" w:type="dxa"/>
            <w:vAlign w:val="bottom"/>
            <w:shd w:val="clear" w:color="auto" w:fill="5668B0"/>
          </w:tcPr>
          <w:p>
            <w:pPr>
              <w:jc w:val="center"/>
              <w:spacing w:after="0"/>
              <w:rPr>
                <w:sz w:val="20"/>
                <w:szCs w:val="20"/>
                <w:color w:val="auto"/>
              </w:rPr>
            </w:pPr>
            <w:r>
              <w:rPr>
                <w:rFonts w:ascii="Arial" w:cs="Arial" w:eastAsia="Arial" w:hAnsi="Arial"/>
                <w:sz w:val="13"/>
                <w:szCs w:val="13"/>
                <w:b w:val="1"/>
                <w:bCs w:val="1"/>
                <w:color w:val="FFFFFE"/>
              </w:rPr>
              <w:t>Memberships</w:t>
            </w:r>
          </w:p>
        </w:tc>
        <w:tc>
          <w:tcPr>
            <w:tcW w:w="0" w:type="dxa"/>
            <w:vAlign w:val="bottom"/>
          </w:tcPr>
          <w:p>
            <w:pPr>
              <w:spacing w:after="0"/>
              <w:rPr>
                <w:sz w:val="1"/>
                <w:szCs w:val="1"/>
                <w:color w:val="auto"/>
              </w:rPr>
            </w:pPr>
          </w:p>
        </w:tc>
      </w:tr>
      <w:tr>
        <w:trPr>
          <w:trHeight w:val="193"/>
        </w:trPr>
        <w:tc>
          <w:tcPr>
            <w:tcW w:w="500" w:type="dxa"/>
            <w:vAlign w:val="bottom"/>
            <w:shd w:val="clear" w:color="auto" w:fill="E6ECF8"/>
          </w:tcPr>
          <w:p>
            <w:pPr>
              <w:spacing w:after="0"/>
              <w:rPr>
                <w:sz w:val="20"/>
                <w:szCs w:val="20"/>
                <w:color w:val="auto"/>
              </w:rPr>
            </w:pPr>
            <w:r>
              <w:rPr>
                <w:rFonts w:ascii="Arial" w:cs="Arial" w:eastAsia="Arial" w:hAnsi="Arial"/>
                <w:sz w:val="16"/>
                <w:szCs w:val="16"/>
                <w:color w:val="auto"/>
                <w:w w:val="98"/>
              </w:rPr>
              <w:t>Class I</w:t>
            </w:r>
          </w:p>
        </w:tc>
        <w:tc>
          <w:tcPr>
            <w:tcW w:w="1440" w:type="dxa"/>
            <w:vAlign w:val="bottom"/>
            <w:shd w:val="clear" w:color="auto" w:fill="E6ECF8"/>
          </w:tcPr>
          <w:p>
            <w:pPr>
              <w:ind w:left="220"/>
              <w:spacing w:after="0"/>
              <w:rPr>
                <w:sz w:val="20"/>
                <w:szCs w:val="20"/>
                <w:color w:val="auto"/>
              </w:rPr>
            </w:pPr>
            <w:r>
              <w:rPr>
                <w:rFonts w:ascii="Arial" w:cs="Arial" w:eastAsia="Arial" w:hAnsi="Arial"/>
                <w:sz w:val="16"/>
                <w:szCs w:val="16"/>
                <w:color w:val="auto"/>
              </w:rPr>
              <w:t>Michael S.</w:t>
            </w:r>
          </w:p>
        </w:tc>
        <w:tc>
          <w:tcPr>
            <w:tcW w:w="46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75</w:t>
            </w:r>
          </w:p>
        </w:tc>
        <w:tc>
          <w:tcPr>
            <w:tcW w:w="68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1989</w:t>
            </w:r>
          </w:p>
        </w:tc>
        <w:tc>
          <w:tcPr>
            <w:tcW w:w="5840" w:type="dxa"/>
            <w:vAlign w:val="bottom"/>
            <w:gridSpan w:val="2"/>
            <w:shd w:val="clear" w:color="auto" w:fill="E6ECF8"/>
          </w:tcPr>
          <w:p>
            <w:pPr>
              <w:ind w:left="80"/>
              <w:spacing w:after="0"/>
              <w:rPr>
                <w:sz w:val="20"/>
                <w:szCs w:val="20"/>
                <w:color w:val="auto"/>
              </w:rPr>
            </w:pPr>
            <w:r>
              <w:rPr>
                <w:rFonts w:ascii="Arial" w:cs="Arial" w:eastAsia="Arial" w:hAnsi="Arial"/>
                <w:sz w:val="16"/>
                <w:szCs w:val="16"/>
                <w:color w:val="auto"/>
              </w:rPr>
              <w:t>Distinguished Chair in Biomedical Sciences, Regental Professor of Molecular</w:t>
            </w:r>
          </w:p>
        </w:tc>
        <w:tc>
          <w:tcPr>
            <w:tcW w:w="1380" w:type="dxa"/>
            <w:vAlign w:val="bottom"/>
            <w:shd w:val="clear" w:color="auto" w:fill="E6ECF8"/>
          </w:tcPr>
          <w:p>
            <w:pPr>
              <w:jc w:val="center"/>
              <w:ind w:left="303"/>
              <w:spacing w:after="0"/>
              <w:rPr>
                <w:sz w:val="20"/>
                <w:szCs w:val="20"/>
                <w:color w:val="auto"/>
              </w:rPr>
            </w:pPr>
            <w:r>
              <w:rPr>
                <w:rFonts w:ascii="Arial" w:cs="Arial" w:eastAsia="Arial" w:hAnsi="Arial"/>
                <w:sz w:val="16"/>
                <w:szCs w:val="16"/>
                <w:color w:val="auto"/>
                <w:w w:val="89"/>
              </w:rPr>
              <w:t>ü</w:t>
            </w: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190"/>
        </w:trPr>
        <w:tc>
          <w:tcPr>
            <w:tcW w:w="500" w:type="dxa"/>
            <w:vAlign w:val="bottom"/>
            <w:shd w:val="clear" w:color="auto" w:fill="E6ECF8"/>
          </w:tcPr>
          <w:p>
            <w:pPr>
              <w:spacing w:after="0"/>
              <w:rPr>
                <w:sz w:val="16"/>
                <w:szCs w:val="16"/>
                <w:color w:val="auto"/>
              </w:rPr>
            </w:pPr>
          </w:p>
        </w:tc>
        <w:tc>
          <w:tcPr>
            <w:tcW w:w="1440" w:type="dxa"/>
            <w:vAlign w:val="bottom"/>
            <w:shd w:val="clear" w:color="auto" w:fill="E6ECF8"/>
          </w:tcPr>
          <w:p>
            <w:pPr>
              <w:ind w:left="220"/>
              <w:spacing w:after="0"/>
              <w:rPr>
                <w:sz w:val="20"/>
                <w:szCs w:val="20"/>
                <w:color w:val="auto"/>
              </w:rPr>
            </w:pPr>
            <w:r>
              <w:rPr>
                <w:rFonts w:ascii="Arial" w:cs="Arial" w:eastAsia="Arial" w:hAnsi="Arial"/>
                <w:sz w:val="16"/>
                <w:szCs w:val="16"/>
                <w:color w:val="auto"/>
              </w:rPr>
              <w:t>Brown, M.D.</w:t>
            </w:r>
          </w:p>
        </w:tc>
        <w:tc>
          <w:tcPr>
            <w:tcW w:w="460" w:type="dxa"/>
            <w:vAlign w:val="bottom"/>
            <w:shd w:val="clear" w:color="auto" w:fill="E6ECF8"/>
          </w:tcPr>
          <w:p>
            <w:pPr>
              <w:spacing w:after="0"/>
              <w:rPr>
                <w:sz w:val="16"/>
                <w:szCs w:val="16"/>
                <w:color w:val="auto"/>
              </w:rPr>
            </w:pPr>
          </w:p>
        </w:tc>
        <w:tc>
          <w:tcPr>
            <w:tcW w:w="680" w:type="dxa"/>
            <w:vAlign w:val="bottom"/>
            <w:shd w:val="clear" w:color="auto" w:fill="E6ECF8"/>
          </w:tcPr>
          <w:p>
            <w:pPr>
              <w:spacing w:after="0"/>
              <w:rPr>
                <w:sz w:val="16"/>
                <w:szCs w:val="16"/>
                <w:color w:val="auto"/>
              </w:rPr>
            </w:pPr>
          </w:p>
        </w:tc>
        <w:tc>
          <w:tcPr>
            <w:tcW w:w="7220" w:type="dxa"/>
            <w:vAlign w:val="bottom"/>
            <w:gridSpan w:val="3"/>
            <w:shd w:val="clear" w:color="auto" w:fill="E6ECF8"/>
          </w:tcPr>
          <w:p>
            <w:pPr>
              <w:ind w:left="80"/>
              <w:spacing w:after="0"/>
              <w:rPr>
                <w:sz w:val="20"/>
                <w:szCs w:val="20"/>
                <w:color w:val="auto"/>
              </w:rPr>
            </w:pPr>
            <w:r>
              <w:rPr>
                <w:rFonts w:ascii="Arial" w:cs="Arial" w:eastAsia="Arial" w:hAnsi="Arial"/>
                <w:sz w:val="16"/>
                <w:szCs w:val="16"/>
                <w:color w:val="auto"/>
              </w:rPr>
              <w:t>Genetics, and Director of the Jonsson Center for Molecular Genetics, University of</w:t>
            </w: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7"/>
        </w:trPr>
        <w:tc>
          <w:tcPr>
            <w:tcW w:w="500" w:type="dxa"/>
            <w:vAlign w:val="bottom"/>
            <w:shd w:val="clear" w:color="auto" w:fill="E6ECF8"/>
          </w:tcPr>
          <w:p>
            <w:pPr>
              <w:spacing w:after="0"/>
              <w:rPr>
                <w:sz w:val="17"/>
                <w:szCs w:val="17"/>
                <w:color w:val="auto"/>
              </w:rPr>
            </w:pPr>
          </w:p>
        </w:tc>
        <w:tc>
          <w:tcPr>
            <w:tcW w:w="1440" w:type="dxa"/>
            <w:vAlign w:val="bottom"/>
            <w:shd w:val="clear" w:color="auto" w:fill="E6ECF8"/>
          </w:tcPr>
          <w:p>
            <w:pPr>
              <w:spacing w:after="0"/>
              <w:rPr>
                <w:sz w:val="17"/>
                <w:szCs w:val="17"/>
                <w:color w:val="auto"/>
              </w:rPr>
            </w:pPr>
          </w:p>
        </w:tc>
        <w:tc>
          <w:tcPr>
            <w:tcW w:w="460" w:type="dxa"/>
            <w:vAlign w:val="bottom"/>
            <w:shd w:val="clear" w:color="auto" w:fill="E6ECF8"/>
          </w:tcPr>
          <w:p>
            <w:pPr>
              <w:spacing w:after="0"/>
              <w:rPr>
                <w:sz w:val="17"/>
                <w:szCs w:val="17"/>
                <w:color w:val="auto"/>
              </w:rPr>
            </w:pPr>
          </w:p>
        </w:tc>
        <w:tc>
          <w:tcPr>
            <w:tcW w:w="680" w:type="dxa"/>
            <w:vAlign w:val="bottom"/>
            <w:shd w:val="clear" w:color="auto" w:fill="E6ECF8"/>
          </w:tcPr>
          <w:p>
            <w:pPr>
              <w:spacing w:after="0"/>
              <w:rPr>
                <w:sz w:val="17"/>
                <w:szCs w:val="17"/>
                <w:color w:val="auto"/>
              </w:rPr>
            </w:pPr>
          </w:p>
        </w:tc>
        <w:tc>
          <w:tcPr>
            <w:tcW w:w="5840" w:type="dxa"/>
            <w:vAlign w:val="bottom"/>
            <w:gridSpan w:val="2"/>
            <w:shd w:val="clear" w:color="auto" w:fill="E6ECF8"/>
          </w:tcPr>
          <w:p>
            <w:pPr>
              <w:ind w:left="80"/>
              <w:spacing w:after="0"/>
              <w:rPr>
                <w:sz w:val="20"/>
                <w:szCs w:val="20"/>
                <w:color w:val="auto"/>
              </w:rPr>
            </w:pPr>
            <w:r>
              <w:rPr>
                <w:rFonts w:ascii="Arial" w:cs="Arial" w:eastAsia="Arial" w:hAnsi="Arial"/>
                <w:sz w:val="16"/>
                <w:szCs w:val="16"/>
                <w:color w:val="auto"/>
              </w:rPr>
              <w:t>Texas Southwestern Medical Center at Dallas</w:t>
            </w:r>
          </w:p>
        </w:tc>
        <w:tc>
          <w:tcPr>
            <w:tcW w:w="1380" w:type="dxa"/>
            <w:vAlign w:val="bottom"/>
            <w:shd w:val="clear" w:color="auto" w:fill="E6ECF8"/>
          </w:tcPr>
          <w:p>
            <w:pPr>
              <w:spacing w:after="0"/>
              <w:rPr>
                <w:sz w:val="17"/>
                <w:szCs w:val="17"/>
                <w:color w:val="auto"/>
              </w:rPr>
            </w:pP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(Chairman)</w:t>
            </w:r>
          </w:p>
        </w:tc>
        <w:tc>
          <w:tcPr>
            <w:tcW w:w="0" w:type="dxa"/>
            <w:vAlign w:val="bottom"/>
          </w:tcPr>
          <w:p>
            <w:pPr>
              <w:spacing w:after="0"/>
              <w:rPr>
                <w:sz w:val="1"/>
                <w:szCs w:val="1"/>
                <w:color w:val="auto"/>
              </w:rPr>
            </w:pPr>
          </w:p>
        </w:tc>
      </w:tr>
      <w:tr>
        <w:trPr>
          <w:trHeight w:val="373"/>
        </w:trPr>
        <w:tc>
          <w:tcPr>
            <w:tcW w:w="500" w:type="dxa"/>
            <w:vAlign w:val="bottom"/>
            <w:shd w:val="clear" w:color="auto" w:fill="E6ECF8"/>
          </w:tcPr>
          <w:p>
            <w:pPr>
              <w:spacing w:after="0"/>
              <w:rPr>
                <w:sz w:val="24"/>
                <w:szCs w:val="24"/>
                <w:color w:val="auto"/>
              </w:rPr>
            </w:pPr>
          </w:p>
        </w:tc>
        <w:tc>
          <w:tcPr>
            <w:tcW w:w="1440" w:type="dxa"/>
            <w:vAlign w:val="bottom"/>
            <w:shd w:val="clear" w:color="auto" w:fill="E6ECF8"/>
          </w:tcPr>
          <w:p>
            <w:pPr>
              <w:spacing w:after="0"/>
              <w:rPr>
                <w:sz w:val="24"/>
                <w:szCs w:val="24"/>
                <w:color w:val="auto"/>
              </w:rPr>
            </w:pPr>
          </w:p>
        </w:tc>
        <w:tc>
          <w:tcPr>
            <w:tcW w:w="460" w:type="dxa"/>
            <w:vAlign w:val="bottom"/>
            <w:shd w:val="clear" w:color="auto" w:fill="E6ECF8"/>
          </w:tcPr>
          <w:p>
            <w:pPr>
              <w:spacing w:after="0"/>
              <w:rPr>
                <w:sz w:val="24"/>
                <w:szCs w:val="24"/>
                <w:color w:val="auto"/>
              </w:rPr>
            </w:pPr>
          </w:p>
        </w:tc>
        <w:tc>
          <w:tcPr>
            <w:tcW w:w="680" w:type="dxa"/>
            <w:vAlign w:val="bottom"/>
            <w:shd w:val="clear" w:color="auto" w:fill="E6ECF8"/>
          </w:tcPr>
          <w:p>
            <w:pPr>
              <w:spacing w:after="0"/>
              <w:rPr>
                <w:sz w:val="24"/>
                <w:szCs w:val="24"/>
                <w:color w:val="auto"/>
              </w:rPr>
            </w:pPr>
          </w:p>
        </w:tc>
        <w:tc>
          <w:tcPr>
            <w:tcW w:w="5340" w:type="dxa"/>
            <w:vAlign w:val="bottom"/>
            <w:tcBorders>
              <w:right w:val="single" w:sz="8" w:color="E6ECF8"/>
            </w:tcBorders>
            <w:shd w:val="clear" w:color="auto" w:fill="E6ECF8"/>
          </w:tcPr>
          <w:p>
            <w:pPr>
              <w:spacing w:after="0"/>
              <w:rPr>
                <w:sz w:val="24"/>
                <w:szCs w:val="24"/>
                <w:color w:val="auto"/>
              </w:rPr>
            </w:pPr>
          </w:p>
        </w:tc>
        <w:tc>
          <w:tcPr>
            <w:tcW w:w="500" w:type="dxa"/>
            <w:vAlign w:val="bottom"/>
            <w:shd w:val="clear" w:color="auto" w:fill="E6ECF8"/>
          </w:tcPr>
          <w:p>
            <w:pPr>
              <w:spacing w:after="0"/>
              <w:rPr>
                <w:sz w:val="24"/>
                <w:szCs w:val="24"/>
                <w:color w:val="auto"/>
              </w:rPr>
            </w:pPr>
          </w:p>
        </w:tc>
        <w:tc>
          <w:tcPr>
            <w:tcW w:w="1380" w:type="dxa"/>
            <w:vAlign w:val="bottom"/>
            <w:shd w:val="clear" w:color="auto" w:fill="E6ECF8"/>
          </w:tcPr>
          <w:p>
            <w:pPr>
              <w:spacing w:after="0"/>
              <w:rPr>
                <w:sz w:val="24"/>
                <w:szCs w:val="24"/>
                <w:color w:val="auto"/>
              </w:rPr>
            </w:pP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Corporate</w:t>
            </w:r>
          </w:p>
        </w:tc>
        <w:tc>
          <w:tcPr>
            <w:tcW w:w="0" w:type="dxa"/>
            <w:vAlign w:val="bottom"/>
          </w:tcPr>
          <w:p>
            <w:pPr>
              <w:spacing w:after="0"/>
              <w:rPr>
                <w:sz w:val="1"/>
                <w:szCs w:val="1"/>
                <w:color w:val="auto"/>
              </w:rPr>
            </w:pPr>
          </w:p>
        </w:tc>
      </w:tr>
      <w:tr>
        <w:trPr>
          <w:trHeight w:val="190"/>
        </w:trPr>
        <w:tc>
          <w:tcPr>
            <w:tcW w:w="500" w:type="dxa"/>
            <w:vAlign w:val="bottom"/>
            <w:shd w:val="clear" w:color="auto" w:fill="E6ECF8"/>
          </w:tcPr>
          <w:p>
            <w:pPr>
              <w:spacing w:after="0"/>
              <w:rPr>
                <w:sz w:val="16"/>
                <w:szCs w:val="16"/>
                <w:color w:val="auto"/>
              </w:rPr>
            </w:pPr>
          </w:p>
        </w:tc>
        <w:tc>
          <w:tcPr>
            <w:tcW w:w="1440" w:type="dxa"/>
            <w:vAlign w:val="bottom"/>
            <w:shd w:val="clear" w:color="auto" w:fill="E6ECF8"/>
          </w:tcPr>
          <w:p>
            <w:pPr>
              <w:spacing w:after="0"/>
              <w:rPr>
                <w:sz w:val="16"/>
                <w:szCs w:val="16"/>
                <w:color w:val="auto"/>
              </w:rPr>
            </w:pPr>
          </w:p>
        </w:tc>
        <w:tc>
          <w:tcPr>
            <w:tcW w:w="460" w:type="dxa"/>
            <w:vAlign w:val="bottom"/>
            <w:shd w:val="clear" w:color="auto" w:fill="E6ECF8"/>
          </w:tcPr>
          <w:p>
            <w:pPr>
              <w:spacing w:after="0"/>
              <w:rPr>
                <w:sz w:val="16"/>
                <w:szCs w:val="16"/>
                <w:color w:val="auto"/>
              </w:rPr>
            </w:pPr>
          </w:p>
        </w:tc>
        <w:tc>
          <w:tcPr>
            <w:tcW w:w="680" w:type="dxa"/>
            <w:vAlign w:val="bottom"/>
            <w:shd w:val="clear" w:color="auto" w:fill="E6ECF8"/>
          </w:tcPr>
          <w:p>
            <w:pPr>
              <w:spacing w:after="0"/>
              <w:rPr>
                <w:sz w:val="16"/>
                <w:szCs w:val="16"/>
                <w:color w:val="auto"/>
              </w:rPr>
            </w:pPr>
          </w:p>
        </w:tc>
        <w:tc>
          <w:tcPr>
            <w:tcW w:w="5340" w:type="dxa"/>
            <w:vAlign w:val="bottom"/>
            <w:tcBorders>
              <w:right w:val="single" w:sz="8" w:color="E6ECF8"/>
            </w:tcBorders>
            <w:shd w:val="clear" w:color="auto" w:fill="E6ECF8"/>
          </w:tcPr>
          <w:p>
            <w:pPr>
              <w:spacing w:after="0"/>
              <w:rPr>
                <w:sz w:val="16"/>
                <w:szCs w:val="16"/>
                <w:color w:val="auto"/>
              </w:rPr>
            </w:pPr>
          </w:p>
        </w:tc>
        <w:tc>
          <w:tcPr>
            <w:tcW w:w="500" w:type="dxa"/>
            <w:vAlign w:val="bottom"/>
            <w:shd w:val="clear" w:color="auto" w:fill="E6ECF8"/>
          </w:tcPr>
          <w:p>
            <w:pPr>
              <w:spacing w:after="0"/>
              <w:rPr>
                <w:sz w:val="16"/>
                <w:szCs w:val="16"/>
                <w:color w:val="auto"/>
              </w:rPr>
            </w:pPr>
          </w:p>
        </w:tc>
        <w:tc>
          <w:tcPr>
            <w:tcW w:w="1380" w:type="dxa"/>
            <w:vAlign w:val="bottom"/>
            <w:shd w:val="clear" w:color="auto" w:fill="E6ECF8"/>
          </w:tcPr>
          <w:p>
            <w:pPr>
              <w:spacing w:after="0"/>
              <w:rPr>
                <w:sz w:val="16"/>
                <w:szCs w:val="16"/>
                <w:color w:val="auto"/>
              </w:rPr>
            </w:pP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190"/>
        </w:trPr>
        <w:tc>
          <w:tcPr>
            <w:tcW w:w="500" w:type="dxa"/>
            <w:vAlign w:val="bottom"/>
            <w:shd w:val="clear" w:color="auto" w:fill="E6ECF8"/>
          </w:tcPr>
          <w:p>
            <w:pPr>
              <w:spacing w:after="0"/>
              <w:rPr>
                <w:sz w:val="16"/>
                <w:szCs w:val="16"/>
                <w:color w:val="auto"/>
              </w:rPr>
            </w:pPr>
          </w:p>
        </w:tc>
        <w:tc>
          <w:tcPr>
            <w:tcW w:w="1440" w:type="dxa"/>
            <w:vAlign w:val="bottom"/>
            <w:shd w:val="clear" w:color="auto" w:fill="E6ECF8"/>
          </w:tcPr>
          <w:p>
            <w:pPr>
              <w:spacing w:after="0"/>
              <w:rPr>
                <w:sz w:val="16"/>
                <w:szCs w:val="16"/>
                <w:color w:val="auto"/>
              </w:rPr>
            </w:pPr>
          </w:p>
        </w:tc>
        <w:tc>
          <w:tcPr>
            <w:tcW w:w="460" w:type="dxa"/>
            <w:vAlign w:val="bottom"/>
            <w:shd w:val="clear" w:color="auto" w:fill="E6ECF8"/>
          </w:tcPr>
          <w:p>
            <w:pPr>
              <w:spacing w:after="0"/>
              <w:rPr>
                <w:sz w:val="16"/>
                <w:szCs w:val="16"/>
                <w:color w:val="auto"/>
              </w:rPr>
            </w:pPr>
          </w:p>
        </w:tc>
        <w:tc>
          <w:tcPr>
            <w:tcW w:w="680" w:type="dxa"/>
            <w:vAlign w:val="bottom"/>
            <w:shd w:val="clear" w:color="auto" w:fill="E6ECF8"/>
          </w:tcPr>
          <w:p>
            <w:pPr>
              <w:spacing w:after="0"/>
              <w:rPr>
                <w:sz w:val="16"/>
                <w:szCs w:val="16"/>
                <w:color w:val="auto"/>
              </w:rPr>
            </w:pPr>
          </w:p>
        </w:tc>
        <w:tc>
          <w:tcPr>
            <w:tcW w:w="5340" w:type="dxa"/>
            <w:vAlign w:val="bottom"/>
            <w:tcBorders>
              <w:right w:val="single" w:sz="8" w:color="E6ECF8"/>
            </w:tcBorders>
            <w:shd w:val="clear" w:color="auto" w:fill="E6ECF8"/>
          </w:tcPr>
          <w:p>
            <w:pPr>
              <w:spacing w:after="0"/>
              <w:rPr>
                <w:sz w:val="16"/>
                <w:szCs w:val="16"/>
                <w:color w:val="auto"/>
              </w:rPr>
            </w:pPr>
          </w:p>
        </w:tc>
        <w:tc>
          <w:tcPr>
            <w:tcW w:w="500" w:type="dxa"/>
            <w:vAlign w:val="bottom"/>
            <w:shd w:val="clear" w:color="auto" w:fill="E6ECF8"/>
          </w:tcPr>
          <w:p>
            <w:pPr>
              <w:spacing w:after="0"/>
              <w:rPr>
                <w:sz w:val="16"/>
                <w:szCs w:val="16"/>
                <w:color w:val="auto"/>
              </w:rPr>
            </w:pPr>
          </w:p>
        </w:tc>
        <w:tc>
          <w:tcPr>
            <w:tcW w:w="1380" w:type="dxa"/>
            <w:vAlign w:val="bottom"/>
            <w:shd w:val="clear" w:color="auto" w:fill="E6ECF8"/>
          </w:tcPr>
          <w:p>
            <w:pPr>
              <w:spacing w:after="0"/>
              <w:rPr>
                <w:sz w:val="16"/>
                <w:szCs w:val="16"/>
                <w:color w:val="auto"/>
              </w:rPr>
            </w:pP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190"/>
        </w:trPr>
        <w:tc>
          <w:tcPr>
            <w:tcW w:w="500" w:type="dxa"/>
            <w:vAlign w:val="bottom"/>
            <w:shd w:val="clear" w:color="auto" w:fill="E6ECF8"/>
          </w:tcPr>
          <w:p>
            <w:pPr>
              <w:spacing w:after="0"/>
              <w:rPr>
                <w:sz w:val="16"/>
                <w:szCs w:val="16"/>
                <w:color w:val="auto"/>
              </w:rPr>
            </w:pPr>
          </w:p>
        </w:tc>
        <w:tc>
          <w:tcPr>
            <w:tcW w:w="1440" w:type="dxa"/>
            <w:vAlign w:val="bottom"/>
            <w:shd w:val="clear" w:color="auto" w:fill="E6ECF8"/>
          </w:tcPr>
          <w:p>
            <w:pPr>
              <w:spacing w:after="0"/>
              <w:rPr>
                <w:sz w:val="16"/>
                <w:szCs w:val="16"/>
                <w:color w:val="auto"/>
              </w:rPr>
            </w:pPr>
          </w:p>
        </w:tc>
        <w:tc>
          <w:tcPr>
            <w:tcW w:w="460" w:type="dxa"/>
            <w:vAlign w:val="bottom"/>
            <w:shd w:val="clear" w:color="auto" w:fill="E6ECF8"/>
          </w:tcPr>
          <w:p>
            <w:pPr>
              <w:spacing w:after="0"/>
              <w:rPr>
                <w:sz w:val="16"/>
                <w:szCs w:val="16"/>
                <w:color w:val="auto"/>
              </w:rPr>
            </w:pPr>
          </w:p>
        </w:tc>
        <w:tc>
          <w:tcPr>
            <w:tcW w:w="680" w:type="dxa"/>
            <w:vAlign w:val="bottom"/>
            <w:shd w:val="clear" w:color="auto" w:fill="E6ECF8"/>
          </w:tcPr>
          <w:p>
            <w:pPr>
              <w:spacing w:after="0"/>
              <w:rPr>
                <w:sz w:val="16"/>
                <w:szCs w:val="16"/>
                <w:color w:val="auto"/>
              </w:rPr>
            </w:pPr>
          </w:p>
        </w:tc>
        <w:tc>
          <w:tcPr>
            <w:tcW w:w="5340" w:type="dxa"/>
            <w:vAlign w:val="bottom"/>
            <w:tcBorders>
              <w:right w:val="single" w:sz="8" w:color="E6ECF8"/>
            </w:tcBorders>
            <w:shd w:val="clear" w:color="auto" w:fill="E6ECF8"/>
          </w:tcPr>
          <w:p>
            <w:pPr>
              <w:spacing w:after="0"/>
              <w:rPr>
                <w:sz w:val="16"/>
                <w:szCs w:val="16"/>
                <w:color w:val="auto"/>
              </w:rPr>
            </w:pPr>
          </w:p>
        </w:tc>
        <w:tc>
          <w:tcPr>
            <w:tcW w:w="500" w:type="dxa"/>
            <w:vAlign w:val="bottom"/>
            <w:shd w:val="clear" w:color="auto" w:fill="E6ECF8"/>
          </w:tcPr>
          <w:p>
            <w:pPr>
              <w:spacing w:after="0"/>
              <w:rPr>
                <w:sz w:val="16"/>
                <w:szCs w:val="16"/>
                <w:color w:val="auto"/>
              </w:rPr>
            </w:pPr>
          </w:p>
        </w:tc>
        <w:tc>
          <w:tcPr>
            <w:tcW w:w="1380" w:type="dxa"/>
            <w:vAlign w:val="bottom"/>
            <w:shd w:val="clear" w:color="auto" w:fill="E6ECF8"/>
          </w:tcPr>
          <w:p>
            <w:pPr>
              <w:spacing w:after="0"/>
              <w:rPr>
                <w:sz w:val="16"/>
                <w:szCs w:val="16"/>
                <w:color w:val="auto"/>
              </w:rPr>
            </w:pP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Compliance</w:t>
            </w:r>
          </w:p>
        </w:tc>
        <w:tc>
          <w:tcPr>
            <w:tcW w:w="0" w:type="dxa"/>
            <w:vAlign w:val="bottom"/>
          </w:tcPr>
          <w:p>
            <w:pPr>
              <w:spacing w:after="0"/>
              <w:rPr>
                <w:sz w:val="1"/>
                <w:szCs w:val="1"/>
                <w:color w:val="auto"/>
              </w:rPr>
            </w:pPr>
          </w:p>
        </w:tc>
      </w:tr>
      <w:tr>
        <w:trPr>
          <w:trHeight w:val="187"/>
        </w:trPr>
        <w:tc>
          <w:tcPr>
            <w:tcW w:w="500" w:type="dxa"/>
            <w:vAlign w:val="bottom"/>
            <w:shd w:val="clear" w:color="auto" w:fill="E6ECF8"/>
          </w:tcPr>
          <w:p>
            <w:pPr>
              <w:spacing w:after="0"/>
              <w:rPr>
                <w:sz w:val="16"/>
                <w:szCs w:val="16"/>
                <w:color w:val="auto"/>
              </w:rPr>
            </w:pPr>
          </w:p>
        </w:tc>
        <w:tc>
          <w:tcPr>
            <w:tcW w:w="1440" w:type="dxa"/>
            <w:vAlign w:val="bottom"/>
            <w:shd w:val="clear" w:color="auto" w:fill="E6ECF8"/>
          </w:tcPr>
          <w:p>
            <w:pPr>
              <w:spacing w:after="0"/>
              <w:rPr>
                <w:sz w:val="16"/>
                <w:szCs w:val="16"/>
                <w:color w:val="auto"/>
              </w:rPr>
            </w:pPr>
          </w:p>
        </w:tc>
        <w:tc>
          <w:tcPr>
            <w:tcW w:w="460" w:type="dxa"/>
            <w:vAlign w:val="bottom"/>
            <w:shd w:val="clear" w:color="auto" w:fill="E6ECF8"/>
          </w:tcPr>
          <w:p>
            <w:pPr>
              <w:spacing w:after="0"/>
              <w:rPr>
                <w:sz w:val="16"/>
                <w:szCs w:val="16"/>
                <w:color w:val="auto"/>
              </w:rPr>
            </w:pPr>
          </w:p>
        </w:tc>
        <w:tc>
          <w:tcPr>
            <w:tcW w:w="680" w:type="dxa"/>
            <w:vAlign w:val="bottom"/>
            <w:shd w:val="clear" w:color="auto" w:fill="E6ECF8"/>
          </w:tcPr>
          <w:p>
            <w:pPr>
              <w:spacing w:after="0"/>
              <w:rPr>
                <w:sz w:val="16"/>
                <w:szCs w:val="16"/>
                <w:color w:val="auto"/>
              </w:rPr>
            </w:pPr>
          </w:p>
        </w:tc>
        <w:tc>
          <w:tcPr>
            <w:tcW w:w="5340" w:type="dxa"/>
            <w:vAlign w:val="bottom"/>
            <w:tcBorders>
              <w:right w:val="single" w:sz="8" w:color="E6ECF8"/>
            </w:tcBorders>
            <w:shd w:val="clear" w:color="auto" w:fill="E6ECF8"/>
          </w:tcPr>
          <w:p>
            <w:pPr>
              <w:spacing w:after="0"/>
              <w:rPr>
                <w:sz w:val="16"/>
                <w:szCs w:val="16"/>
                <w:color w:val="auto"/>
              </w:rPr>
            </w:pPr>
          </w:p>
        </w:tc>
        <w:tc>
          <w:tcPr>
            <w:tcW w:w="500" w:type="dxa"/>
            <w:vAlign w:val="bottom"/>
            <w:shd w:val="clear" w:color="auto" w:fill="E6ECF8"/>
          </w:tcPr>
          <w:p>
            <w:pPr>
              <w:spacing w:after="0"/>
              <w:rPr>
                <w:sz w:val="16"/>
                <w:szCs w:val="16"/>
                <w:color w:val="auto"/>
              </w:rPr>
            </w:pPr>
          </w:p>
        </w:tc>
        <w:tc>
          <w:tcPr>
            <w:tcW w:w="1380" w:type="dxa"/>
            <w:vAlign w:val="bottom"/>
            <w:shd w:val="clear" w:color="auto" w:fill="E6ECF8"/>
          </w:tcPr>
          <w:p>
            <w:pPr>
              <w:spacing w:after="0"/>
              <w:rPr>
                <w:sz w:val="16"/>
                <w:szCs w:val="16"/>
                <w:color w:val="auto"/>
              </w:rPr>
            </w:pP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3"/>
        </w:trPr>
        <w:tc>
          <w:tcPr>
            <w:tcW w:w="500" w:type="dxa"/>
            <w:vAlign w:val="bottom"/>
            <w:shd w:val="clear" w:color="auto" w:fill="D0DBEF"/>
          </w:tcPr>
          <w:p>
            <w:pPr>
              <w:spacing w:after="0"/>
              <w:rPr>
                <w:sz w:val="20"/>
                <w:szCs w:val="20"/>
                <w:color w:val="auto"/>
              </w:rPr>
            </w:pPr>
            <w:r>
              <w:rPr>
                <w:rFonts w:ascii="Arial" w:cs="Arial" w:eastAsia="Arial" w:hAnsi="Arial"/>
                <w:sz w:val="16"/>
                <w:szCs w:val="16"/>
                <w:color w:val="auto"/>
                <w:w w:val="98"/>
              </w:rPr>
              <w:t>Class I</w:t>
            </w:r>
          </w:p>
        </w:tc>
        <w:tc>
          <w:tcPr>
            <w:tcW w:w="1440" w:type="dxa"/>
            <w:vAlign w:val="bottom"/>
            <w:shd w:val="clear" w:color="auto" w:fill="D0DBEF"/>
          </w:tcPr>
          <w:p>
            <w:pPr>
              <w:ind w:left="220"/>
              <w:spacing w:after="0"/>
              <w:rPr>
                <w:sz w:val="20"/>
                <w:szCs w:val="20"/>
                <w:color w:val="auto"/>
              </w:rPr>
            </w:pPr>
            <w:r>
              <w:rPr>
                <w:rFonts w:ascii="Arial" w:cs="Arial" w:eastAsia="Arial" w:hAnsi="Arial"/>
                <w:sz w:val="16"/>
                <w:szCs w:val="16"/>
                <w:color w:val="auto"/>
              </w:rPr>
              <w:t>Leonard S.</w:t>
            </w:r>
          </w:p>
        </w:tc>
        <w:tc>
          <w:tcPr>
            <w:tcW w:w="46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63</w:t>
            </w:r>
          </w:p>
        </w:tc>
        <w:tc>
          <w:tcPr>
            <w:tcW w:w="68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1988</w:t>
            </w:r>
          </w:p>
        </w:tc>
        <w:tc>
          <w:tcPr>
            <w:tcW w:w="5840" w:type="dxa"/>
            <w:vAlign w:val="bottom"/>
            <w:gridSpan w:val="2"/>
            <w:shd w:val="clear" w:color="auto" w:fill="D0DBEF"/>
          </w:tcPr>
          <w:p>
            <w:pPr>
              <w:ind w:left="80"/>
              <w:spacing w:after="0"/>
              <w:rPr>
                <w:sz w:val="20"/>
                <w:szCs w:val="20"/>
                <w:color w:val="auto"/>
              </w:rPr>
            </w:pPr>
            <w:r>
              <w:rPr>
                <w:rFonts w:ascii="Arial" w:cs="Arial" w:eastAsia="Arial" w:hAnsi="Arial"/>
                <w:sz w:val="16"/>
                <w:szCs w:val="16"/>
                <w:color w:val="auto"/>
              </w:rPr>
              <w:t>President and Chief Executive Officer of Regeneron Pharmaceuticals, Inc.</w:t>
            </w:r>
          </w:p>
        </w:tc>
        <w:tc>
          <w:tcPr>
            <w:tcW w:w="1380" w:type="dxa"/>
            <w:vAlign w:val="bottom"/>
            <w:shd w:val="clear" w:color="auto" w:fill="D0DBEF"/>
          </w:tcPr>
          <w:p>
            <w:pPr>
              <w:spacing w:after="0"/>
              <w:rPr>
                <w:sz w:val="16"/>
                <w:szCs w:val="16"/>
                <w:color w:val="auto"/>
              </w:rPr>
            </w:pPr>
          </w:p>
        </w:tc>
        <w:tc>
          <w:tcPr>
            <w:tcW w:w="1120" w:type="dxa"/>
            <w:vAlign w:val="bottom"/>
            <w:gridSpan w:val="2"/>
            <w:shd w:val="clear" w:color="auto" w:fill="D0DBEF"/>
          </w:tcPr>
          <w:p>
            <w:pPr>
              <w:ind w:left="6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174"/>
        </w:trPr>
        <w:tc>
          <w:tcPr>
            <w:tcW w:w="500" w:type="dxa"/>
            <w:vAlign w:val="bottom"/>
            <w:shd w:val="clear" w:color="auto" w:fill="D0DBEF"/>
          </w:tcPr>
          <w:p>
            <w:pPr>
              <w:spacing w:after="0"/>
              <w:rPr>
                <w:sz w:val="15"/>
                <w:szCs w:val="15"/>
                <w:color w:val="auto"/>
              </w:rPr>
            </w:pPr>
          </w:p>
        </w:tc>
        <w:tc>
          <w:tcPr>
            <w:tcW w:w="1440" w:type="dxa"/>
            <w:vAlign w:val="bottom"/>
            <w:shd w:val="clear" w:color="auto" w:fill="D0DBEF"/>
          </w:tcPr>
          <w:p>
            <w:pPr>
              <w:ind w:left="220"/>
              <w:spacing w:after="0" w:line="174" w:lineRule="exact"/>
              <w:rPr>
                <w:sz w:val="20"/>
                <w:szCs w:val="20"/>
                <w:color w:val="auto"/>
              </w:rPr>
            </w:pPr>
            <w:r>
              <w:rPr>
                <w:rFonts w:ascii="Arial" w:cs="Arial" w:eastAsia="Arial" w:hAnsi="Arial"/>
                <w:sz w:val="16"/>
                <w:szCs w:val="16"/>
                <w:color w:val="auto"/>
              </w:rPr>
              <w:t>Schleifer, M.D.,</w:t>
            </w:r>
          </w:p>
        </w:tc>
        <w:tc>
          <w:tcPr>
            <w:tcW w:w="460" w:type="dxa"/>
            <w:vAlign w:val="bottom"/>
            <w:shd w:val="clear" w:color="auto" w:fill="D0DBEF"/>
          </w:tcPr>
          <w:p>
            <w:pPr>
              <w:spacing w:after="0"/>
              <w:rPr>
                <w:sz w:val="15"/>
                <w:szCs w:val="15"/>
                <w:color w:val="auto"/>
              </w:rPr>
            </w:pPr>
          </w:p>
        </w:tc>
        <w:tc>
          <w:tcPr>
            <w:tcW w:w="680" w:type="dxa"/>
            <w:vAlign w:val="bottom"/>
            <w:shd w:val="clear" w:color="auto" w:fill="D0DBEF"/>
          </w:tcPr>
          <w:p>
            <w:pPr>
              <w:spacing w:after="0"/>
              <w:rPr>
                <w:sz w:val="15"/>
                <w:szCs w:val="15"/>
                <w:color w:val="auto"/>
              </w:rPr>
            </w:pPr>
          </w:p>
        </w:tc>
        <w:tc>
          <w:tcPr>
            <w:tcW w:w="5340" w:type="dxa"/>
            <w:vAlign w:val="bottom"/>
            <w:tcBorders>
              <w:right w:val="single" w:sz="8" w:color="D0DBEF"/>
            </w:tcBorders>
            <w:shd w:val="clear" w:color="auto" w:fill="D0DBEF"/>
          </w:tcPr>
          <w:p>
            <w:pPr>
              <w:spacing w:after="0"/>
              <w:rPr>
                <w:sz w:val="15"/>
                <w:szCs w:val="15"/>
                <w:color w:val="auto"/>
              </w:rPr>
            </w:pPr>
          </w:p>
        </w:tc>
        <w:tc>
          <w:tcPr>
            <w:tcW w:w="500" w:type="dxa"/>
            <w:vAlign w:val="bottom"/>
            <w:shd w:val="clear" w:color="auto" w:fill="D0DBEF"/>
          </w:tcPr>
          <w:p>
            <w:pPr>
              <w:spacing w:after="0"/>
              <w:rPr>
                <w:sz w:val="15"/>
                <w:szCs w:val="15"/>
                <w:color w:val="auto"/>
              </w:rPr>
            </w:pPr>
          </w:p>
        </w:tc>
        <w:tc>
          <w:tcPr>
            <w:tcW w:w="1380" w:type="dxa"/>
            <w:vAlign w:val="bottom"/>
            <w:shd w:val="clear" w:color="auto" w:fill="D0DBEF"/>
          </w:tcPr>
          <w:p>
            <w:pPr>
              <w:spacing w:after="0"/>
              <w:rPr>
                <w:sz w:val="15"/>
                <w:szCs w:val="15"/>
                <w:color w:val="auto"/>
              </w:rPr>
            </w:pPr>
          </w:p>
        </w:tc>
        <w:tc>
          <w:tcPr>
            <w:tcW w:w="1120" w:type="dxa"/>
            <w:vAlign w:val="bottom"/>
            <w:gridSpan w:val="2"/>
            <w:shd w:val="clear" w:color="auto" w:fill="D0DBEF"/>
          </w:tcPr>
          <w:p>
            <w:pPr>
              <w:ind w:left="60"/>
              <w:spacing w:after="0" w:line="174" w:lineRule="exact"/>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206"/>
        </w:trPr>
        <w:tc>
          <w:tcPr>
            <w:tcW w:w="500" w:type="dxa"/>
            <w:vAlign w:val="bottom"/>
            <w:shd w:val="clear" w:color="auto" w:fill="D0DBEF"/>
          </w:tcPr>
          <w:p>
            <w:pPr>
              <w:spacing w:after="0"/>
              <w:rPr>
                <w:sz w:val="17"/>
                <w:szCs w:val="17"/>
                <w:color w:val="auto"/>
              </w:rPr>
            </w:pPr>
          </w:p>
        </w:tc>
        <w:tc>
          <w:tcPr>
            <w:tcW w:w="1440" w:type="dxa"/>
            <w:vAlign w:val="bottom"/>
            <w:shd w:val="clear" w:color="auto" w:fill="D0DBEF"/>
          </w:tcPr>
          <w:p>
            <w:pPr>
              <w:ind w:left="220"/>
              <w:spacing w:after="0"/>
              <w:rPr>
                <w:sz w:val="20"/>
                <w:szCs w:val="20"/>
                <w:color w:val="auto"/>
              </w:rPr>
            </w:pPr>
            <w:r>
              <w:rPr>
                <w:rFonts w:ascii="Arial" w:cs="Arial" w:eastAsia="Arial" w:hAnsi="Arial"/>
                <w:sz w:val="16"/>
                <w:szCs w:val="16"/>
                <w:color w:val="auto"/>
              </w:rPr>
              <w:t>Ph.D.</w:t>
            </w:r>
          </w:p>
        </w:tc>
        <w:tc>
          <w:tcPr>
            <w:tcW w:w="460" w:type="dxa"/>
            <w:vAlign w:val="bottom"/>
            <w:shd w:val="clear" w:color="auto" w:fill="D0DBEF"/>
          </w:tcPr>
          <w:p>
            <w:pPr>
              <w:spacing w:after="0"/>
              <w:rPr>
                <w:sz w:val="17"/>
                <w:szCs w:val="17"/>
                <w:color w:val="auto"/>
              </w:rPr>
            </w:pPr>
          </w:p>
        </w:tc>
        <w:tc>
          <w:tcPr>
            <w:tcW w:w="680" w:type="dxa"/>
            <w:vAlign w:val="bottom"/>
            <w:shd w:val="clear" w:color="auto" w:fill="D0DBEF"/>
          </w:tcPr>
          <w:p>
            <w:pPr>
              <w:spacing w:after="0"/>
              <w:rPr>
                <w:sz w:val="17"/>
                <w:szCs w:val="17"/>
                <w:color w:val="auto"/>
              </w:rPr>
            </w:pPr>
          </w:p>
        </w:tc>
        <w:tc>
          <w:tcPr>
            <w:tcW w:w="5340" w:type="dxa"/>
            <w:vAlign w:val="bottom"/>
            <w:tcBorders>
              <w:right w:val="single" w:sz="8" w:color="D0DBEF"/>
            </w:tcBorders>
            <w:shd w:val="clear" w:color="auto" w:fill="D0DBEF"/>
          </w:tcPr>
          <w:p>
            <w:pPr>
              <w:spacing w:after="0"/>
              <w:rPr>
                <w:sz w:val="17"/>
                <w:szCs w:val="17"/>
                <w:color w:val="auto"/>
              </w:rPr>
            </w:pPr>
          </w:p>
        </w:tc>
        <w:tc>
          <w:tcPr>
            <w:tcW w:w="500" w:type="dxa"/>
            <w:vAlign w:val="bottom"/>
            <w:shd w:val="clear" w:color="auto" w:fill="D0DBEF"/>
          </w:tcPr>
          <w:p>
            <w:pPr>
              <w:spacing w:after="0"/>
              <w:rPr>
                <w:sz w:val="17"/>
                <w:szCs w:val="17"/>
                <w:color w:val="auto"/>
              </w:rPr>
            </w:pPr>
          </w:p>
        </w:tc>
        <w:tc>
          <w:tcPr>
            <w:tcW w:w="1380" w:type="dxa"/>
            <w:vAlign w:val="bottom"/>
            <w:shd w:val="clear" w:color="auto" w:fill="D0DBEF"/>
          </w:tcPr>
          <w:p>
            <w:pPr>
              <w:spacing w:after="0"/>
              <w:rPr>
                <w:sz w:val="17"/>
                <w:szCs w:val="17"/>
                <w:color w:val="auto"/>
              </w:rPr>
            </w:pPr>
          </w:p>
        </w:tc>
        <w:tc>
          <w:tcPr>
            <w:tcW w:w="1120" w:type="dxa"/>
            <w:vAlign w:val="bottom"/>
            <w:gridSpan w:val="2"/>
            <w:shd w:val="clear" w:color="auto" w:fill="D0DBEF"/>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 Officio</w:t>
            </w:r>
          </w:p>
        </w:tc>
        <w:tc>
          <w:tcPr>
            <w:tcW w:w="0" w:type="dxa"/>
            <w:vAlign w:val="bottom"/>
          </w:tcPr>
          <w:p>
            <w:pPr>
              <w:spacing w:after="0"/>
              <w:rPr>
                <w:sz w:val="1"/>
                <w:szCs w:val="1"/>
                <w:color w:val="auto"/>
              </w:rPr>
            </w:pPr>
          </w:p>
        </w:tc>
      </w:tr>
      <w:tr>
        <w:trPr>
          <w:trHeight w:val="187"/>
        </w:trPr>
        <w:tc>
          <w:tcPr>
            <w:tcW w:w="500" w:type="dxa"/>
            <w:vAlign w:val="bottom"/>
            <w:shd w:val="clear" w:color="auto" w:fill="D0DBEF"/>
          </w:tcPr>
          <w:p>
            <w:pPr>
              <w:spacing w:after="0"/>
              <w:rPr>
                <w:sz w:val="16"/>
                <w:szCs w:val="16"/>
                <w:color w:val="auto"/>
              </w:rPr>
            </w:pPr>
          </w:p>
        </w:tc>
        <w:tc>
          <w:tcPr>
            <w:tcW w:w="1440" w:type="dxa"/>
            <w:vAlign w:val="bottom"/>
            <w:shd w:val="clear" w:color="auto" w:fill="D0DBEF"/>
          </w:tcPr>
          <w:p>
            <w:pPr>
              <w:spacing w:after="0"/>
              <w:rPr>
                <w:sz w:val="16"/>
                <w:szCs w:val="16"/>
                <w:color w:val="auto"/>
              </w:rPr>
            </w:pPr>
          </w:p>
        </w:tc>
        <w:tc>
          <w:tcPr>
            <w:tcW w:w="460" w:type="dxa"/>
            <w:vAlign w:val="bottom"/>
            <w:shd w:val="clear" w:color="auto" w:fill="D0DBEF"/>
          </w:tcPr>
          <w:p>
            <w:pPr>
              <w:spacing w:after="0"/>
              <w:rPr>
                <w:sz w:val="16"/>
                <w:szCs w:val="16"/>
                <w:color w:val="auto"/>
              </w:rPr>
            </w:pPr>
          </w:p>
        </w:tc>
        <w:tc>
          <w:tcPr>
            <w:tcW w:w="680" w:type="dxa"/>
            <w:vAlign w:val="bottom"/>
            <w:shd w:val="clear" w:color="auto" w:fill="D0DBEF"/>
          </w:tcPr>
          <w:p>
            <w:pPr>
              <w:spacing w:after="0"/>
              <w:rPr>
                <w:sz w:val="16"/>
                <w:szCs w:val="16"/>
                <w:color w:val="auto"/>
              </w:rPr>
            </w:pPr>
          </w:p>
        </w:tc>
        <w:tc>
          <w:tcPr>
            <w:tcW w:w="5340" w:type="dxa"/>
            <w:vAlign w:val="bottom"/>
            <w:tcBorders>
              <w:right w:val="single" w:sz="8" w:color="D0DBEF"/>
            </w:tcBorders>
            <w:shd w:val="clear" w:color="auto" w:fill="D0DBEF"/>
          </w:tcPr>
          <w:p>
            <w:pPr>
              <w:spacing w:after="0"/>
              <w:rPr>
                <w:sz w:val="16"/>
                <w:szCs w:val="16"/>
                <w:color w:val="auto"/>
              </w:rPr>
            </w:pPr>
          </w:p>
        </w:tc>
        <w:tc>
          <w:tcPr>
            <w:tcW w:w="500" w:type="dxa"/>
            <w:vAlign w:val="bottom"/>
            <w:shd w:val="clear" w:color="auto" w:fill="D0DBEF"/>
          </w:tcPr>
          <w:p>
            <w:pPr>
              <w:spacing w:after="0"/>
              <w:rPr>
                <w:sz w:val="16"/>
                <w:szCs w:val="16"/>
                <w:color w:val="auto"/>
              </w:rPr>
            </w:pPr>
          </w:p>
        </w:tc>
        <w:tc>
          <w:tcPr>
            <w:tcW w:w="1380" w:type="dxa"/>
            <w:vAlign w:val="bottom"/>
            <w:shd w:val="clear" w:color="auto" w:fill="D0DBEF"/>
          </w:tcPr>
          <w:p>
            <w:pPr>
              <w:spacing w:after="0"/>
              <w:rPr>
                <w:sz w:val="16"/>
                <w:szCs w:val="16"/>
                <w:color w:val="auto"/>
              </w:rPr>
            </w:pPr>
          </w:p>
        </w:tc>
        <w:tc>
          <w:tcPr>
            <w:tcW w:w="1120" w:type="dxa"/>
            <w:vAlign w:val="bottom"/>
            <w:gridSpan w:val="2"/>
            <w:shd w:val="clear" w:color="auto" w:fill="D0DBEF"/>
          </w:tcPr>
          <w:p>
            <w:pPr>
              <w:ind w:left="60"/>
              <w:spacing w:after="0"/>
              <w:rPr>
                <w:sz w:val="20"/>
                <w:szCs w:val="20"/>
                <w:color w:val="auto"/>
              </w:rPr>
            </w:pPr>
            <w:r>
              <w:rPr>
                <w:rFonts w:ascii="Arial" w:cs="Arial" w:eastAsia="Arial" w:hAnsi="Arial"/>
                <w:sz w:val="16"/>
                <w:szCs w:val="16"/>
                <w:color w:val="auto"/>
              </w:rPr>
              <w:t>Member)</w:t>
            </w:r>
          </w:p>
        </w:tc>
        <w:tc>
          <w:tcPr>
            <w:tcW w:w="0" w:type="dxa"/>
            <w:vAlign w:val="bottom"/>
          </w:tcPr>
          <w:p>
            <w:pPr>
              <w:spacing w:after="0"/>
              <w:rPr>
                <w:sz w:val="1"/>
                <w:szCs w:val="1"/>
                <w:color w:val="auto"/>
              </w:rPr>
            </w:pPr>
          </w:p>
        </w:tc>
      </w:tr>
      <w:tr>
        <w:trPr>
          <w:trHeight w:val="193"/>
        </w:trPr>
        <w:tc>
          <w:tcPr>
            <w:tcW w:w="500" w:type="dxa"/>
            <w:vAlign w:val="bottom"/>
            <w:shd w:val="clear" w:color="auto" w:fill="E6ECF8"/>
          </w:tcPr>
          <w:p>
            <w:pPr>
              <w:spacing w:after="0"/>
              <w:rPr>
                <w:sz w:val="20"/>
                <w:szCs w:val="20"/>
                <w:color w:val="auto"/>
              </w:rPr>
            </w:pPr>
            <w:r>
              <w:rPr>
                <w:rFonts w:ascii="Arial" w:cs="Arial" w:eastAsia="Arial" w:hAnsi="Arial"/>
                <w:sz w:val="16"/>
                <w:szCs w:val="16"/>
                <w:color w:val="auto"/>
                <w:w w:val="98"/>
              </w:rPr>
              <w:t>Class I</w:t>
            </w:r>
          </w:p>
        </w:tc>
        <w:tc>
          <w:tcPr>
            <w:tcW w:w="1440" w:type="dxa"/>
            <w:vAlign w:val="bottom"/>
            <w:shd w:val="clear" w:color="auto" w:fill="E6ECF8"/>
          </w:tcPr>
          <w:p>
            <w:pPr>
              <w:ind w:left="220"/>
              <w:spacing w:after="0"/>
              <w:rPr>
                <w:sz w:val="20"/>
                <w:szCs w:val="20"/>
                <w:color w:val="auto"/>
              </w:rPr>
            </w:pPr>
            <w:r>
              <w:rPr>
                <w:rFonts w:ascii="Arial" w:cs="Arial" w:eastAsia="Arial" w:hAnsi="Arial"/>
                <w:sz w:val="16"/>
                <w:szCs w:val="16"/>
                <w:color w:val="auto"/>
              </w:rPr>
              <w:t>George D.</w:t>
            </w:r>
          </w:p>
        </w:tc>
        <w:tc>
          <w:tcPr>
            <w:tcW w:w="46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56</w:t>
            </w:r>
          </w:p>
        </w:tc>
        <w:tc>
          <w:tcPr>
            <w:tcW w:w="68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2001</w:t>
            </w:r>
          </w:p>
        </w:tc>
        <w:tc>
          <w:tcPr>
            <w:tcW w:w="5840" w:type="dxa"/>
            <w:vAlign w:val="bottom"/>
            <w:gridSpan w:val="2"/>
            <w:shd w:val="clear" w:color="auto" w:fill="E6ECF8"/>
          </w:tcPr>
          <w:p>
            <w:pPr>
              <w:ind w:left="80"/>
              <w:spacing w:after="0"/>
              <w:rPr>
                <w:sz w:val="20"/>
                <w:szCs w:val="20"/>
                <w:color w:val="auto"/>
              </w:rPr>
            </w:pPr>
            <w:r>
              <w:rPr>
                <w:rFonts w:ascii="Arial" w:cs="Arial" w:eastAsia="Arial" w:hAnsi="Arial"/>
                <w:sz w:val="16"/>
                <w:szCs w:val="16"/>
                <w:color w:val="auto"/>
              </w:rPr>
              <w:t>President, Regeneron Laboratories and Chief Scientific Officer of Regeneron</w:t>
            </w:r>
          </w:p>
        </w:tc>
        <w:tc>
          <w:tcPr>
            <w:tcW w:w="1380" w:type="dxa"/>
            <w:vAlign w:val="bottom"/>
            <w:shd w:val="clear" w:color="auto" w:fill="E6ECF8"/>
          </w:tcPr>
          <w:p>
            <w:pPr>
              <w:spacing w:after="0"/>
              <w:rPr>
                <w:sz w:val="16"/>
                <w:szCs w:val="16"/>
                <w:color w:val="auto"/>
              </w:rPr>
            </w:pP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174"/>
        </w:trPr>
        <w:tc>
          <w:tcPr>
            <w:tcW w:w="500" w:type="dxa"/>
            <w:vAlign w:val="bottom"/>
            <w:shd w:val="clear" w:color="auto" w:fill="E6ECF8"/>
          </w:tcPr>
          <w:p>
            <w:pPr>
              <w:spacing w:after="0"/>
              <w:rPr>
                <w:sz w:val="15"/>
                <w:szCs w:val="15"/>
                <w:color w:val="auto"/>
              </w:rPr>
            </w:pPr>
          </w:p>
        </w:tc>
        <w:tc>
          <w:tcPr>
            <w:tcW w:w="1440" w:type="dxa"/>
            <w:vAlign w:val="bottom"/>
            <w:shd w:val="clear" w:color="auto" w:fill="E6ECF8"/>
          </w:tcPr>
          <w:p>
            <w:pPr>
              <w:ind w:left="220"/>
              <w:spacing w:after="0" w:line="174" w:lineRule="exact"/>
              <w:rPr>
                <w:sz w:val="20"/>
                <w:szCs w:val="20"/>
                <w:color w:val="auto"/>
              </w:rPr>
            </w:pPr>
            <w:r>
              <w:rPr>
                <w:rFonts w:ascii="Arial" w:cs="Arial" w:eastAsia="Arial" w:hAnsi="Arial"/>
                <w:sz w:val="16"/>
                <w:szCs w:val="16"/>
                <w:color w:val="auto"/>
              </w:rPr>
              <w:t>Yancopoulos,</w:t>
            </w:r>
          </w:p>
        </w:tc>
        <w:tc>
          <w:tcPr>
            <w:tcW w:w="460" w:type="dxa"/>
            <w:vAlign w:val="bottom"/>
            <w:shd w:val="clear" w:color="auto" w:fill="E6ECF8"/>
          </w:tcPr>
          <w:p>
            <w:pPr>
              <w:spacing w:after="0"/>
              <w:rPr>
                <w:sz w:val="15"/>
                <w:szCs w:val="15"/>
                <w:color w:val="auto"/>
              </w:rPr>
            </w:pPr>
          </w:p>
        </w:tc>
        <w:tc>
          <w:tcPr>
            <w:tcW w:w="680" w:type="dxa"/>
            <w:vAlign w:val="bottom"/>
            <w:shd w:val="clear" w:color="auto" w:fill="E6ECF8"/>
          </w:tcPr>
          <w:p>
            <w:pPr>
              <w:spacing w:after="0"/>
              <w:rPr>
                <w:sz w:val="15"/>
                <w:szCs w:val="15"/>
                <w:color w:val="auto"/>
              </w:rPr>
            </w:pPr>
          </w:p>
        </w:tc>
        <w:tc>
          <w:tcPr>
            <w:tcW w:w="5840" w:type="dxa"/>
            <w:vAlign w:val="bottom"/>
            <w:gridSpan w:val="2"/>
            <w:shd w:val="clear" w:color="auto" w:fill="E6ECF8"/>
          </w:tcPr>
          <w:p>
            <w:pPr>
              <w:ind w:left="80"/>
              <w:spacing w:after="0" w:line="174" w:lineRule="exact"/>
              <w:rPr>
                <w:sz w:val="20"/>
                <w:szCs w:val="20"/>
                <w:color w:val="auto"/>
              </w:rPr>
            </w:pPr>
            <w:r>
              <w:rPr>
                <w:rFonts w:ascii="Arial" w:cs="Arial" w:eastAsia="Arial" w:hAnsi="Arial"/>
                <w:sz w:val="16"/>
                <w:szCs w:val="16"/>
                <w:color w:val="auto"/>
              </w:rPr>
              <w:t>Pharmaceuticals, Inc.</w:t>
            </w:r>
          </w:p>
        </w:tc>
        <w:tc>
          <w:tcPr>
            <w:tcW w:w="1380" w:type="dxa"/>
            <w:vAlign w:val="bottom"/>
            <w:shd w:val="clear" w:color="auto" w:fill="E6ECF8"/>
          </w:tcPr>
          <w:p>
            <w:pPr>
              <w:spacing w:after="0"/>
              <w:rPr>
                <w:sz w:val="15"/>
                <w:szCs w:val="15"/>
                <w:color w:val="auto"/>
              </w:rPr>
            </w:pPr>
          </w:p>
        </w:tc>
        <w:tc>
          <w:tcPr>
            <w:tcW w:w="1120" w:type="dxa"/>
            <w:vAlign w:val="bottom"/>
            <w:gridSpan w:val="2"/>
            <w:shd w:val="clear" w:color="auto" w:fill="E6ECF8"/>
          </w:tcPr>
          <w:p>
            <w:pPr>
              <w:ind w:left="60"/>
              <w:spacing w:after="0" w:line="174" w:lineRule="exact"/>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206"/>
        </w:trPr>
        <w:tc>
          <w:tcPr>
            <w:tcW w:w="500" w:type="dxa"/>
            <w:vAlign w:val="bottom"/>
            <w:shd w:val="clear" w:color="auto" w:fill="E6ECF8"/>
          </w:tcPr>
          <w:p>
            <w:pPr>
              <w:spacing w:after="0"/>
              <w:rPr>
                <w:sz w:val="17"/>
                <w:szCs w:val="17"/>
                <w:color w:val="auto"/>
              </w:rPr>
            </w:pPr>
          </w:p>
        </w:tc>
        <w:tc>
          <w:tcPr>
            <w:tcW w:w="1440" w:type="dxa"/>
            <w:vAlign w:val="bottom"/>
            <w:shd w:val="clear" w:color="auto" w:fill="E6ECF8"/>
          </w:tcPr>
          <w:p>
            <w:pPr>
              <w:ind w:left="220"/>
              <w:spacing w:after="0"/>
              <w:rPr>
                <w:sz w:val="20"/>
                <w:szCs w:val="20"/>
                <w:color w:val="auto"/>
              </w:rPr>
            </w:pPr>
            <w:r>
              <w:rPr>
                <w:rFonts w:ascii="Arial" w:cs="Arial" w:eastAsia="Arial" w:hAnsi="Arial"/>
                <w:sz w:val="16"/>
                <w:szCs w:val="16"/>
                <w:color w:val="auto"/>
              </w:rPr>
              <w:t>M.D., Ph.D.</w:t>
            </w:r>
          </w:p>
        </w:tc>
        <w:tc>
          <w:tcPr>
            <w:tcW w:w="460" w:type="dxa"/>
            <w:vAlign w:val="bottom"/>
            <w:shd w:val="clear" w:color="auto" w:fill="E6ECF8"/>
          </w:tcPr>
          <w:p>
            <w:pPr>
              <w:spacing w:after="0"/>
              <w:rPr>
                <w:sz w:val="17"/>
                <w:szCs w:val="17"/>
                <w:color w:val="auto"/>
              </w:rPr>
            </w:pPr>
          </w:p>
        </w:tc>
        <w:tc>
          <w:tcPr>
            <w:tcW w:w="680" w:type="dxa"/>
            <w:vAlign w:val="bottom"/>
            <w:shd w:val="clear" w:color="auto" w:fill="E6ECF8"/>
          </w:tcPr>
          <w:p>
            <w:pPr>
              <w:spacing w:after="0"/>
              <w:rPr>
                <w:sz w:val="17"/>
                <w:szCs w:val="17"/>
                <w:color w:val="auto"/>
              </w:rPr>
            </w:pPr>
          </w:p>
        </w:tc>
        <w:tc>
          <w:tcPr>
            <w:tcW w:w="5340" w:type="dxa"/>
            <w:vAlign w:val="bottom"/>
            <w:tcBorders>
              <w:right w:val="single" w:sz="8" w:color="E6ECF8"/>
            </w:tcBorders>
            <w:shd w:val="clear" w:color="auto" w:fill="E6ECF8"/>
          </w:tcPr>
          <w:p>
            <w:pPr>
              <w:spacing w:after="0"/>
              <w:rPr>
                <w:sz w:val="17"/>
                <w:szCs w:val="17"/>
                <w:color w:val="auto"/>
              </w:rPr>
            </w:pPr>
          </w:p>
        </w:tc>
        <w:tc>
          <w:tcPr>
            <w:tcW w:w="500" w:type="dxa"/>
            <w:vAlign w:val="bottom"/>
            <w:shd w:val="clear" w:color="auto" w:fill="E6ECF8"/>
          </w:tcPr>
          <w:p>
            <w:pPr>
              <w:spacing w:after="0"/>
              <w:rPr>
                <w:sz w:val="17"/>
                <w:szCs w:val="17"/>
                <w:color w:val="auto"/>
              </w:rPr>
            </w:pPr>
          </w:p>
        </w:tc>
        <w:tc>
          <w:tcPr>
            <w:tcW w:w="1380" w:type="dxa"/>
            <w:vAlign w:val="bottom"/>
            <w:shd w:val="clear" w:color="auto" w:fill="E6ECF8"/>
          </w:tcPr>
          <w:p>
            <w:pPr>
              <w:spacing w:after="0"/>
              <w:rPr>
                <w:sz w:val="17"/>
                <w:szCs w:val="17"/>
                <w:color w:val="auto"/>
              </w:rPr>
            </w:pPr>
          </w:p>
        </w:tc>
        <w:tc>
          <w:tcPr>
            <w:tcW w:w="112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 Officio</w:t>
            </w:r>
          </w:p>
        </w:tc>
        <w:tc>
          <w:tcPr>
            <w:tcW w:w="0" w:type="dxa"/>
            <w:vAlign w:val="bottom"/>
          </w:tcPr>
          <w:p>
            <w:pPr>
              <w:spacing w:after="0"/>
              <w:rPr>
                <w:sz w:val="1"/>
                <w:szCs w:val="1"/>
                <w:color w:val="auto"/>
              </w:rPr>
            </w:pPr>
          </w:p>
        </w:tc>
      </w:tr>
      <w:tr>
        <w:trPr>
          <w:trHeight w:val="187"/>
        </w:trPr>
        <w:tc>
          <w:tcPr>
            <w:tcW w:w="500" w:type="dxa"/>
            <w:vAlign w:val="bottom"/>
            <w:tcBorders>
              <w:bottom w:val="single" w:sz="8" w:color="5668B0"/>
            </w:tcBorders>
            <w:shd w:val="clear" w:color="auto" w:fill="E6ECF8"/>
          </w:tcPr>
          <w:p>
            <w:pPr>
              <w:spacing w:after="0"/>
              <w:rPr>
                <w:sz w:val="16"/>
                <w:szCs w:val="16"/>
                <w:color w:val="auto"/>
              </w:rPr>
            </w:pPr>
          </w:p>
        </w:tc>
        <w:tc>
          <w:tcPr>
            <w:tcW w:w="1440" w:type="dxa"/>
            <w:vAlign w:val="bottom"/>
            <w:tcBorders>
              <w:bottom w:val="single" w:sz="8" w:color="5668B0"/>
            </w:tcBorders>
            <w:shd w:val="clear" w:color="auto" w:fill="E6ECF8"/>
          </w:tcPr>
          <w:p>
            <w:pPr>
              <w:spacing w:after="0"/>
              <w:rPr>
                <w:sz w:val="16"/>
                <w:szCs w:val="16"/>
                <w:color w:val="auto"/>
              </w:rPr>
            </w:pPr>
          </w:p>
        </w:tc>
        <w:tc>
          <w:tcPr>
            <w:tcW w:w="460" w:type="dxa"/>
            <w:vAlign w:val="bottom"/>
            <w:tcBorders>
              <w:bottom w:val="single" w:sz="8" w:color="5668B0"/>
            </w:tcBorders>
            <w:shd w:val="clear" w:color="auto" w:fill="E6ECF8"/>
          </w:tcPr>
          <w:p>
            <w:pPr>
              <w:spacing w:after="0"/>
              <w:rPr>
                <w:sz w:val="16"/>
                <w:szCs w:val="16"/>
                <w:color w:val="auto"/>
              </w:rPr>
            </w:pPr>
          </w:p>
        </w:tc>
        <w:tc>
          <w:tcPr>
            <w:tcW w:w="680" w:type="dxa"/>
            <w:vAlign w:val="bottom"/>
            <w:tcBorders>
              <w:bottom w:val="single" w:sz="8" w:color="5668B0"/>
            </w:tcBorders>
            <w:shd w:val="clear" w:color="auto" w:fill="E6ECF8"/>
          </w:tcPr>
          <w:p>
            <w:pPr>
              <w:spacing w:after="0"/>
              <w:rPr>
                <w:sz w:val="16"/>
                <w:szCs w:val="16"/>
                <w:color w:val="auto"/>
              </w:rPr>
            </w:pPr>
          </w:p>
        </w:tc>
        <w:tc>
          <w:tcPr>
            <w:tcW w:w="5340" w:type="dxa"/>
            <w:vAlign w:val="bottom"/>
            <w:tcBorders>
              <w:bottom w:val="single" w:sz="8" w:color="5668B0"/>
              <w:right w:val="single" w:sz="8" w:color="E6ECF8"/>
            </w:tcBorders>
            <w:shd w:val="clear" w:color="auto" w:fill="E6ECF8"/>
          </w:tcPr>
          <w:p>
            <w:pPr>
              <w:spacing w:after="0"/>
              <w:rPr>
                <w:sz w:val="16"/>
                <w:szCs w:val="16"/>
                <w:color w:val="auto"/>
              </w:rPr>
            </w:pPr>
          </w:p>
        </w:tc>
        <w:tc>
          <w:tcPr>
            <w:tcW w:w="500" w:type="dxa"/>
            <w:vAlign w:val="bottom"/>
            <w:tcBorders>
              <w:bottom w:val="single" w:sz="8" w:color="5668B0"/>
            </w:tcBorders>
            <w:shd w:val="clear" w:color="auto" w:fill="E6ECF8"/>
          </w:tcPr>
          <w:p>
            <w:pPr>
              <w:spacing w:after="0"/>
              <w:rPr>
                <w:sz w:val="16"/>
                <w:szCs w:val="16"/>
                <w:color w:val="auto"/>
              </w:rPr>
            </w:pPr>
          </w:p>
        </w:tc>
        <w:tc>
          <w:tcPr>
            <w:tcW w:w="1380" w:type="dxa"/>
            <w:vAlign w:val="bottom"/>
            <w:tcBorders>
              <w:bottom w:val="single" w:sz="8" w:color="5668B0"/>
            </w:tcBorders>
            <w:shd w:val="clear" w:color="auto" w:fill="E6ECF8"/>
          </w:tcPr>
          <w:p>
            <w:pPr>
              <w:spacing w:after="0"/>
              <w:rPr>
                <w:sz w:val="16"/>
                <w:szCs w:val="16"/>
                <w:color w:val="auto"/>
              </w:rPr>
            </w:pPr>
          </w:p>
        </w:tc>
        <w:tc>
          <w:tcPr>
            <w:tcW w:w="1120" w:type="dxa"/>
            <w:vAlign w:val="bottom"/>
            <w:tcBorders>
              <w:bottom w:val="single" w:sz="8" w:color="5668B0"/>
            </w:tcBorders>
            <w:gridSpan w:val="2"/>
            <w:shd w:val="clear" w:color="auto" w:fill="E6ECF8"/>
          </w:tcPr>
          <w:p>
            <w:pPr>
              <w:ind w:left="60"/>
              <w:spacing w:after="0"/>
              <w:rPr>
                <w:sz w:val="20"/>
                <w:szCs w:val="20"/>
                <w:color w:val="auto"/>
              </w:rPr>
            </w:pPr>
            <w:r>
              <w:rPr>
                <w:rFonts w:ascii="Arial" w:cs="Arial" w:eastAsia="Arial" w:hAnsi="Arial"/>
                <w:sz w:val="16"/>
                <w:szCs w:val="16"/>
                <w:color w:val="auto"/>
              </w:rPr>
              <w:t>Member)</w:t>
            </w:r>
          </w:p>
        </w:tc>
        <w:tc>
          <w:tcPr>
            <w:tcW w:w="0" w:type="dxa"/>
            <w:vAlign w:val="bottom"/>
          </w:tcPr>
          <w:p>
            <w:pPr>
              <w:spacing w:after="0"/>
              <w:rPr>
                <w:sz w:val="1"/>
                <w:szCs w:val="1"/>
                <w:color w:val="auto"/>
              </w:rPr>
            </w:pPr>
          </w:p>
        </w:tc>
      </w:tr>
      <w:tr>
        <w:trPr>
          <w:trHeight w:val="362"/>
        </w:trPr>
        <w:tc>
          <w:tcPr>
            <w:tcW w:w="500" w:type="dxa"/>
            <w:vAlign w:val="bottom"/>
          </w:tcPr>
          <w:p>
            <w:pPr>
              <w:spacing w:after="0"/>
              <w:rPr>
                <w:sz w:val="20"/>
                <w:szCs w:val="20"/>
                <w:color w:val="auto"/>
              </w:rPr>
            </w:pPr>
            <w:r>
              <w:rPr>
                <w:rFonts w:ascii="Arial" w:cs="Arial" w:eastAsia="Arial" w:hAnsi="Arial"/>
                <w:sz w:val="10"/>
                <w:szCs w:val="10"/>
                <w:b w:val="1"/>
                <w:bCs w:val="1"/>
                <w:color w:val="5668B0"/>
              </w:rPr>
              <w:t>*</w:t>
            </w:r>
          </w:p>
        </w:tc>
        <w:tc>
          <w:tcPr>
            <w:tcW w:w="1440" w:type="dxa"/>
            <w:vAlign w:val="bottom"/>
          </w:tcPr>
          <w:p>
            <w:pPr>
              <w:spacing w:after="0"/>
              <w:rPr>
                <w:sz w:val="20"/>
                <w:szCs w:val="20"/>
                <w:color w:val="auto"/>
              </w:rPr>
            </w:pPr>
            <w:r>
              <w:rPr>
                <w:rFonts w:ascii="Arial" w:cs="Arial" w:eastAsia="Arial" w:hAnsi="Arial"/>
                <w:sz w:val="13"/>
                <w:szCs w:val="13"/>
                <w:color w:val="auto"/>
              </w:rPr>
              <w:t>As of April 14, 2016.</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340" w:type="dxa"/>
            <w:vAlign w:val="bottom"/>
            <w:tcBorders>
              <w:right w:val="single" w:sz="8" w:color="183394"/>
            </w:tcBorders>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vMerge w:val="restart"/>
          </w:tcPr>
          <w:p>
            <w:pPr>
              <w:ind w:left="160"/>
              <w:spacing w:after="0"/>
              <w:rPr>
                <w:sz w:val="20"/>
                <w:szCs w:val="20"/>
                <w:color w:val="auto"/>
              </w:rPr>
            </w:pPr>
            <w:r>
              <w:rPr>
                <w:rFonts w:ascii="Arial" w:cs="Arial" w:eastAsia="Arial" w:hAnsi="Arial"/>
                <w:sz w:val="16"/>
                <w:szCs w:val="16"/>
                <w:color w:val="183394"/>
              </w:rPr>
              <w:t>Proxy Summary</w:t>
            </w:r>
          </w:p>
        </w:tc>
        <w:tc>
          <w:tcPr>
            <w:tcW w:w="120" w:type="dxa"/>
            <w:vAlign w:val="bottom"/>
          </w:tcPr>
          <w:p>
            <w:pPr>
              <w:spacing w:after="0"/>
              <w:rPr>
                <w:sz w:val="21"/>
                <w:szCs w:val="21"/>
                <w:color w:val="auto"/>
              </w:rPr>
            </w:pPr>
          </w:p>
        </w:tc>
        <w:tc>
          <w:tcPr>
            <w:tcW w:w="1000" w:type="dxa"/>
            <w:vAlign w:val="bottom"/>
            <w:shd w:val="clear" w:color="auto" w:fill="183394"/>
          </w:tcPr>
          <w:p>
            <w:pPr>
              <w:jc w:val="right"/>
              <w:ind w:right="388"/>
              <w:spacing w:after="0"/>
              <w:rPr>
                <w:sz w:val="20"/>
                <w:szCs w:val="20"/>
                <w:color w:val="auto"/>
              </w:rPr>
            </w:pPr>
            <w:r>
              <w:rPr>
                <w:rFonts w:ascii="Arial" w:cs="Arial" w:eastAsia="Arial" w:hAnsi="Arial"/>
                <w:sz w:val="16"/>
                <w:szCs w:val="16"/>
                <w:b w:val="1"/>
                <w:bCs w:val="1"/>
                <w:color w:val="FFFFFF"/>
              </w:rPr>
              <w:t>1</w:t>
            </w:r>
          </w:p>
        </w:tc>
        <w:tc>
          <w:tcPr>
            <w:tcW w:w="0" w:type="dxa"/>
            <w:vAlign w:val="bottom"/>
          </w:tcPr>
          <w:p>
            <w:pPr>
              <w:spacing w:after="0"/>
              <w:rPr>
                <w:sz w:val="1"/>
                <w:szCs w:val="1"/>
                <w:color w:val="auto"/>
              </w:rPr>
            </w:pPr>
          </w:p>
        </w:tc>
      </w:tr>
      <w:tr>
        <w:trPr>
          <w:trHeight w:val="66"/>
        </w:trPr>
        <w:tc>
          <w:tcPr>
            <w:tcW w:w="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340" w:type="dxa"/>
            <w:vAlign w:val="bottom"/>
            <w:tcBorders>
              <w:right w:val="single" w:sz="8" w:color="183394"/>
            </w:tcBorders>
          </w:tcPr>
          <w:p>
            <w:pPr>
              <w:spacing w:after="0"/>
              <w:rPr>
                <w:sz w:val="5"/>
                <w:szCs w:val="5"/>
                <w:color w:val="auto"/>
              </w:rPr>
            </w:pPr>
          </w:p>
        </w:tc>
        <w:tc>
          <w:tcPr>
            <w:tcW w:w="5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5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Each director nominee is a current director and attended at least 75% of the aggregate of all 2015 meetings of the board of directors and each committee on which he served.</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(see "Corporate Governance" on page 15 for</w:t>
      </w:r>
      <w:r>
        <w:rPr>
          <w:rFonts w:ascii="Arial" w:cs="Arial" w:eastAsia="Arial" w:hAnsi="Arial"/>
          <w:sz w:val="16"/>
          <w:szCs w:val="16"/>
          <w:b w:val="1"/>
          <w:bCs w:val="1"/>
          <w:color w:val="auto"/>
        </w:rPr>
        <w:t xml:space="preserve"> </w:t>
      </w:r>
      <w:r>
        <w:rPr>
          <w:rFonts w:ascii="Arial" w:cs="Arial" w:eastAsia="Arial" w:hAnsi="Arial"/>
          <w:sz w:val="16"/>
          <w:szCs w:val="16"/>
          <w:color w:val="auto"/>
        </w:rPr>
        <w:t>more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spacing w:after="0" w:line="434"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shd w:val="clear" w:color="auto" w:fill="5668B0"/>
          </w:tcPr>
          <w:p>
            <w:pPr>
              <w:spacing w:after="0"/>
              <w:rPr>
                <w:sz w:val="20"/>
                <w:szCs w:val="20"/>
                <w:color w:val="auto"/>
              </w:rPr>
            </w:pPr>
            <w:r>
              <w:rPr>
                <w:rFonts w:ascii="Arial" w:cs="Arial" w:eastAsia="Arial" w:hAnsi="Arial"/>
                <w:sz w:val="13"/>
                <w:szCs w:val="13"/>
                <w:b w:val="1"/>
                <w:bCs w:val="1"/>
                <w:color w:val="FFFFFE"/>
              </w:rPr>
              <w:t>Board and Other Governance Information</w:t>
            </w:r>
          </w:p>
        </w:tc>
        <w:tc>
          <w:tcPr>
            <w:tcW w:w="2600" w:type="dxa"/>
            <w:vAlign w:val="bottom"/>
            <w:shd w:val="clear" w:color="auto" w:fill="5668B0"/>
          </w:tcPr>
          <w:p>
            <w:pPr>
              <w:jc w:val="right"/>
              <w:spacing w:after="0"/>
              <w:rPr>
                <w:sz w:val="20"/>
                <w:szCs w:val="20"/>
                <w:color w:val="auto"/>
              </w:rPr>
            </w:pPr>
            <w:r>
              <w:rPr>
                <w:rFonts w:ascii="Arial" w:cs="Arial" w:eastAsia="Arial" w:hAnsi="Arial"/>
                <w:sz w:val="13"/>
                <w:szCs w:val="13"/>
                <w:b w:val="1"/>
                <w:bCs w:val="1"/>
                <w:color w:val="FFFFFE"/>
              </w:rPr>
              <w:t>2016</w:t>
            </w:r>
            <w:r>
              <w:rPr>
                <w:rFonts w:ascii="Arial" w:cs="Arial" w:eastAsia="Arial" w:hAnsi="Arial"/>
                <w:sz w:val="20"/>
                <w:szCs w:val="20"/>
                <w:b w:val="1"/>
                <w:bCs w:val="1"/>
                <w:color w:val="FFFFFE"/>
                <w:vertAlign w:val="superscript"/>
              </w:rPr>
              <w:t>*</w:t>
            </w:r>
          </w:p>
        </w:tc>
      </w:tr>
      <w:tr>
        <w:trPr>
          <w:trHeight w:val="190"/>
        </w:trPr>
        <w:tc>
          <w:tcPr>
            <w:tcW w:w="8820" w:type="dxa"/>
            <w:vAlign w:val="bottom"/>
            <w:shd w:val="clear" w:color="auto" w:fill="E6ECF8"/>
          </w:tcPr>
          <w:p>
            <w:pPr>
              <w:spacing w:after="0"/>
              <w:rPr>
                <w:sz w:val="20"/>
                <w:szCs w:val="20"/>
                <w:color w:val="auto"/>
              </w:rPr>
            </w:pPr>
            <w:r>
              <w:rPr>
                <w:rFonts w:ascii="Arial" w:cs="Arial" w:eastAsia="Arial" w:hAnsi="Arial"/>
                <w:sz w:val="16"/>
                <w:szCs w:val="16"/>
                <w:color w:val="auto"/>
              </w:rPr>
              <w:t>Size of Board</w:t>
            </w:r>
          </w:p>
        </w:tc>
        <w:tc>
          <w:tcPr>
            <w:tcW w:w="2600" w:type="dxa"/>
            <w:vAlign w:val="bottom"/>
            <w:shd w:val="clear" w:color="auto" w:fill="E6ECF8"/>
          </w:tcPr>
          <w:p>
            <w:pPr>
              <w:jc w:val="center"/>
              <w:ind w:left="2139"/>
              <w:spacing w:after="0"/>
              <w:rPr>
                <w:sz w:val="20"/>
                <w:szCs w:val="20"/>
                <w:color w:val="auto"/>
              </w:rPr>
            </w:pPr>
            <w:r>
              <w:rPr>
                <w:rFonts w:ascii="Arial" w:cs="Arial" w:eastAsia="Arial" w:hAnsi="Arial"/>
                <w:sz w:val="16"/>
                <w:szCs w:val="16"/>
                <w:color w:val="auto"/>
              </w:rPr>
              <w:t>10</w:t>
            </w:r>
          </w:p>
        </w:tc>
      </w:tr>
      <w:tr>
        <w:trPr>
          <w:trHeight w:val="190"/>
        </w:trPr>
        <w:tc>
          <w:tcPr>
            <w:tcW w:w="8820" w:type="dxa"/>
            <w:vAlign w:val="bottom"/>
            <w:shd w:val="clear" w:color="auto" w:fill="D0DBEF"/>
          </w:tcPr>
          <w:p>
            <w:pPr>
              <w:spacing w:after="0"/>
              <w:rPr>
                <w:sz w:val="20"/>
                <w:szCs w:val="20"/>
                <w:color w:val="auto"/>
              </w:rPr>
            </w:pPr>
            <w:r>
              <w:rPr>
                <w:rFonts w:ascii="Arial" w:cs="Arial" w:eastAsia="Arial" w:hAnsi="Arial"/>
                <w:sz w:val="16"/>
                <w:szCs w:val="16"/>
                <w:color w:val="auto"/>
              </w:rPr>
              <w:t>Number of Independent Directors</w:t>
            </w:r>
          </w:p>
        </w:tc>
        <w:tc>
          <w:tcPr>
            <w:tcW w:w="2600" w:type="dxa"/>
            <w:vAlign w:val="bottom"/>
            <w:shd w:val="clear" w:color="auto" w:fill="D0DBEF"/>
          </w:tcPr>
          <w:p>
            <w:pPr>
              <w:jc w:val="center"/>
              <w:ind w:left="2159"/>
              <w:spacing w:after="0"/>
              <w:rPr>
                <w:sz w:val="20"/>
                <w:szCs w:val="20"/>
                <w:color w:val="auto"/>
              </w:rPr>
            </w:pPr>
            <w:r>
              <w:rPr>
                <w:rFonts w:ascii="Arial" w:cs="Arial" w:eastAsia="Arial" w:hAnsi="Arial"/>
                <w:sz w:val="16"/>
                <w:szCs w:val="16"/>
                <w:color w:val="auto"/>
                <w:w w:val="89"/>
              </w:rPr>
              <w:t>7</w:t>
            </w:r>
          </w:p>
        </w:tc>
      </w:tr>
      <w:tr>
        <w:trPr>
          <w:trHeight w:val="202"/>
        </w:trPr>
        <w:tc>
          <w:tcPr>
            <w:tcW w:w="8820" w:type="dxa"/>
            <w:vAlign w:val="bottom"/>
            <w:shd w:val="clear" w:color="auto" w:fill="E6ECF8"/>
          </w:tcPr>
          <w:p>
            <w:pPr>
              <w:spacing w:after="0"/>
              <w:rPr>
                <w:sz w:val="20"/>
                <w:szCs w:val="20"/>
                <w:color w:val="auto"/>
              </w:rPr>
            </w:pPr>
            <w:r>
              <w:rPr>
                <w:rFonts w:ascii="Arial" w:cs="Arial" w:eastAsia="Arial" w:hAnsi="Arial"/>
                <w:sz w:val="16"/>
                <w:szCs w:val="16"/>
                <w:color w:val="auto"/>
              </w:rPr>
              <w:t>Separate Chairman and Chief Executive Officer</w:t>
            </w:r>
          </w:p>
        </w:tc>
        <w:tc>
          <w:tcPr>
            <w:tcW w:w="2600" w:type="dxa"/>
            <w:vAlign w:val="bottom"/>
            <w:shd w:val="clear" w:color="auto" w:fill="E6ECF8"/>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202"/>
        </w:trPr>
        <w:tc>
          <w:tcPr>
            <w:tcW w:w="8820" w:type="dxa"/>
            <w:vAlign w:val="bottom"/>
            <w:shd w:val="clear" w:color="auto" w:fill="D0DBEF"/>
          </w:tcPr>
          <w:p>
            <w:pPr>
              <w:spacing w:after="0"/>
              <w:rPr>
                <w:sz w:val="20"/>
                <w:szCs w:val="20"/>
                <w:color w:val="auto"/>
              </w:rPr>
            </w:pPr>
            <w:r>
              <w:rPr>
                <w:rFonts w:ascii="Arial" w:cs="Arial" w:eastAsia="Arial" w:hAnsi="Arial"/>
                <w:sz w:val="16"/>
                <w:szCs w:val="16"/>
                <w:color w:val="auto"/>
              </w:rPr>
              <w:t>Majority Voting in the Election of Directors</w:t>
            </w:r>
          </w:p>
        </w:tc>
        <w:tc>
          <w:tcPr>
            <w:tcW w:w="2600" w:type="dxa"/>
            <w:vAlign w:val="bottom"/>
            <w:shd w:val="clear" w:color="auto" w:fill="D0DBEF"/>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202"/>
        </w:trPr>
        <w:tc>
          <w:tcPr>
            <w:tcW w:w="8820" w:type="dxa"/>
            <w:vAlign w:val="bottom"/>
            <w:shd w:val="clear" w:color="auto" w:fill="E6ECF8"/>
          </w:tcPr>
          <w:p>
            <w:pPr>
              <w:spacing w:after="0"/>
              <w:rPr>
                <w:sz w:val="20"/>
                <w:szCs w:val="20"/>
                <w:color w:val="auto"/>
              </w:rPr>
            </w:pPr>
            <w:r>
              <w:rPr>
                <w:rFonts w:ascii="Arial" w:cs="Arial" w:eastAsia="Arial" w:hAnsi="Arial"/>
                <w:sz w:val="16"/>
                <w:szCs w:val="16"/>
                <w:color w:val="auto"/>
              </w:rPr>
              <w:t>Director Resignation Policy</w:t>
            </w:r>
          </w:p>
        </w:tc>
        <w:tc>
          <w:tcPr>
            <w:tcW w:w="2600" w:type="dxa"/>
            <w:vAlign w:val="bottom"/>
            <w:shd w:val="clear" w:color="auto" w:fill="E6ECF8"/>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190"/>
        </w:trPr>
        <w:tc>
          <w:tcPr>
            <w:tcW w:w="8820" w:type="dxa"/>
            <w:vAlign w:val="bottom"/>
            <w:shd w:val="clear" w:color="auto" w:fill="D0DBEF"/>
          </w:tcPr>
          <w:p>
            <w:pPr>
              <w:spacing w:after="0"/>
              <w:rPr>
                <w:sz w:val="20"/>
                <w:szCs w:val="20"/>
                <w:color w:val="auto"/>
              </w:rPr>
            </w:pPr>
            <w:r>
              <w:rPr>
                <w:rFonts w:ascii="Arial" w:cs="Arial" w:eastAsia="Arial" w:hAnsi="Arial"/>
                <w:sz w:val="16"/>
                <w:szCs w:val="16"/>
                <w:color w:val="auto"/>
              </w:rPr>
              <w:t>Number of Meetings of the Board of Directors Held in 2015</w:t>
            </w:r>
          </w:p>
        </w:tc>
        <w:tc>
          <w:tcPr>
            <w:tcW w:w="2600" w:type="dxa"/>
            <w:vAlign w:val="bottom"/>
            <w:shd w:val="clear" w:color="auto" w:fill="D0DBEF"/>
          </w:tcPr>
          <w:p>
            <w:pPr>
              <w:jc w:val="center"/>
              <w:ind w:left="2159"/>
              <w:spacing w:after="0"/>
              <w:rPr>
                <w:sz w:val="20"/>
                <w:szCs w:val="20"/>
                <w:color w:val="auto"/>
              </w:rPr>
            </w:pPr>
            <w:r>
              <w:rPr>
                <w:rFonts w:ascii="Arial" w:cs="Arial" w:eastAsia="Arial" w:hAnsi="Arial"/>
                <w:sz w:val="16"/>
                <w:szCs w:val="16"/>
                <w:color w:val="auto"/>
                <w:w w:val="89"/>
              </w:rPr>
              <w:t>7</w:t>
            </w:r>
          </w:p>
        </w:tc>
      </w:tr>
      <w:tr>
        <w:trPr>
          <w:trHeight w:val="202"/>
        </w:trPr>
        <w:tc>
          <w:tcPr>
            <w:tcW w:w="8820" w:type="dxa"/>
            <w:vAlign w:val="bottom"/>
            <w:shd w:val="clear" w:color="auto" w:fill="E6ECF8"/>
          </w:tcPr>
          <w:p>
            <w:pPr>
              <w:spacing w:after="0"/>
              <w:rPr>
                <w:sz w:val="20"/>
                <w:szCs w:val="20"/>
                <w:color w:val="auto"/>
              </w:rPr>
            </w:pPr>
            <w:r>
              <w:rPr>
                <w:rFonts w:ascii="Arial" w:cs="Arial" w:eastAsia="Arial" w:hAnsi="Arial"/>
                <w:sz w:val="16"/>
                <w:szCs w:val="16"/>
                <w:color w:val="auto"/>
              </w:rPr>
              <w:t>Independent Directors Meet in Executive Sessions Without Management Present</w:t>
            </w:r>
          </w:p>
        </w:tc>
        <w:tc>
          <w:tcPr>
            <w:tcW w:w="2600" w:type="dxa"/>
            <w:vAlign w:val="bottom"/>
            <w:shd w:val="clear" w:color="auto" w:fill="E6ECF8"/>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202"/>
        </w:trPr>
        <w:tc>
          <w:tcPr>
            <w:tcW w:w="8820" w:type="dxa"/>
            <w:vAlign w:val="bottom"/>
            <w:shd w:val="clear" w:color="auto" w:fill="D0DBEF"/>
          </w:tcPr>
          <w:p>
            <w:pPr>
              <w:spacing w:after="0"/>
              <w:rPr>
                <w:sz w:val="20"/>
                <w:szCs w:val="20"/>
                <w:color w:val="auto"/>
              </w:rPr>
            </w:pPr>
            <w:r>
              <w:rPr>
                <w:rFonts w:ascii="Arial" w:cs="Arial" w:eastAsia="Arial" w:hAnsi="Arial"/>
                <w:sz w:val="16"/>
                <w:szCs w:val="16"/>
                <w:color w:val="auto"/>
              </w:rPr>
              <w:t>Code of Business Conduct and Ethics Applicable to All Employees, Officers, and Directors</w:t>
            </w:r>
          </w:p>
        </w:tc>
        <w:tc>
          <w:tcPr>
            <w:tcW w:w="2600" w:type="dxa"/>
            <w:vAlign w:val="bottom"/>
            <w:shd w:val="clear" w:color="auto" w:fill="D0DBEF"/>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202"/>
        </w:trPr>
        <w:tc>
          <w:tcPr>
            <w:tcW w:w="8820" w:type="dxa"/>
            <w:vAlign w:val="bottom"/>
            <w:shd w:val="clear" w:color="auto" w:fill="E6ECF8"/>
          </w:tcPr>
          <w:p>
            <w:pPr>
              <w:spacing w:after="0"/>
              <w:rPr>
                <w:sz w:val="20"/>
                <w:szCs w:val="20"/>
                <w:color w:val="auto"/>
              </w:rPr>
            </w:pPr>
            <w:r>
              <w:rPr>
                <w:rFonts w:ascii="Arial" w:cs="Arial" w:eastAsia="Arial" w:hAnsi="Arial"/>
                <w:sz w:val="16"/>
                <w:szCs w:val="16"/>
                <w:color w:val="auto"/>
              </w:rPr>
              <w:t>Annual Board and Committee Self-Evaluations</w:t>
            </w:r>
          </w:p>
        </w:tc>
        <w:tc>
          <w:tcPr>
            <w:tcW w:w="2600" w:type="dxa"/>
            <w:vAlign w:val="bottom"/>
            <w:shd w:val="clear" w:color="auto" w:fill="E6ECF8"/>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202"/>
        </w:trPr>
        <w:tc>
          <w:tcPr>
            <w:tcW w:w="8820" w:type="dxa"/>
            <w:vAlign w:val="bottom"/>
            <w:shd w:val="clear" w:color="auto" w:fill="D0DBEF"/>
          </w:tcPr>
          <w:p>
            <w:pPr>
              <w:spacing w:after="0"/>
              <w:rPr>
                <w:sz w:val="20"/>
                <w:szCs w:val="20"/>
                <w:color w:val="auto"/>
              </w:rPr>
            </w:pPr>
            <w:r>
              <w:rPr>
                <w:rFonts w:ascii="Arial" w:cs="Arial" w:eastAsia="Arial" w:hAnsi="Arial"/>
                <w:sz w:val="16"/>
                <w:szCs w:val="16"/>
                <w:color w:val="auto"/>
              </w:rPr>
              <w:t>Stock Ownership Guidelines for Directors and Senior Executives</w:t>
            </w:r>
          </w:p>
        </w:tc>
        <w:tc>
          <w:tcPr>
            <w:tcW w:w="2600" w:type="dxa"/>
            <w:vAlign w:val="bottom"/>
            <w:shd w:val="clear" w:color="auto" w:fill="D0DBEF"/>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202"/>
        </w:trPr>
        <w:tc>
          <w:tcPr>
            <w:tcW w:w="8820" w:type="dxa"/>
            <w:vAlign w:val="bottom"/>
            <w:shd w:val="clear" w:color="auto" w:fill="E6ECF8"/>
          </w:tcPr>
          <w:p>
            <w:pPr>
              <w:spacing w:after="0"/>
              <w:rPr>
                <w:sz w:val="20"/>
                <w:szCs w:val="20"/>
                <w:color w:val="auto"/>
              </w:rPr>
            </w:pPr>
            <w:r>
              <w:rPr>
                <w:rFonts w:ascii="Arial" w:cs="Arial" w:eastAsia="Arial" w:hAnsi="Arial"/>
                <w:sz w:val="16"/>
                <w:szCs w:val="16"/>
                <w:color w:val="auto"/>
              </w:rPr>
              <w:t>Active Shareholder Engagement</w:t>
            </w:r>
          </w:p>
        </w:tc>
        <w:tc>
          <w:tcPr>
            <w:tcW w:w="2600" w:type="dxa"/>
            <w:vAlign w:val="bottom"/>
            <w:shd w:val="clear" w:color="auto" w:fill="E6ECF8"/>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202"/>
        </w:trPr>
        <w:tc>
          <w:tcPr>
            <w:tcW w:w="8820" w:type="dxa"/>
            <w:vAlign w:val="bottom"/>
            <w:shd w:val="clear" w:color="auto" w:fill="D0DBEF"/>
          </w:tcPr>
          <w:p>
            <w:pPr>
              <w:spacing w:after="0"/>
              <w:rPr>
                <w:sz w:val="20"/>
                <w:szCs w:val="20"/>
                <w:color w:val="auto"/>
              </w:rPr>
            </w:pPr>
            <w:r>
              <w:rPr>
                <w:rFonts w:ascii="Arial" w:cs="Arial" w:eastAsia="Arial" w:hAnsi="Arial"/>
                <w:sz w:val="16"/>
                <w:szCs w:val="16"/>
                <w:color w:val="auto"/>
              </w:rPr>
              <w:t>Shareholder Right to Remove Directors for Cause</w:t>
            </w:r>
          </w:p>
        </w:tc>
        <w:tc>
          <w:tcPr>
            <w:tcW w:w="2600" w:type="dxa"/>
            <w:vAlign w:val="bottom"/>
            <w:shd w:val="clear" w:color="auto" w:fill="D0DBEF"/>
          </w:tcPr>
          <w:p>
            <w:pPr>
              <w:jc w:val="center"/>
              <w:ind w:left="2159"/>
              <w:spacing w:after="0"/>
              <w:rPr>
                <w:sz w:val="20"/>
                <w:szCs w:val="20"/>
                <w:color w:val="auto"/>
              </w:rPr>
            </w:pPr>
            <w:r>
              <w:rPr>
                <w:rFonts w:ascii="Arial" w:cs="Arial" w:eastAsia="Arial" w:hAnsi="Arial"/>
                <w:sz w:val="16"/>
                <w:szCs w:val="16"/>
                <w:color w:val="auto"/>
                <w:w w:val="89"/>
              </w:rPr>
              <w:t>ü</w:t>
            </w:r>
          </w:p>
        </w:tc>
      </w:tr>
      <w:tr>
        <w:trPr>
          <w:trHeight w:val="202"/>
        </w:trPr>
        <w:tc>
          <w:tcPr>
            <w:tcW w:w="8820" w:type="dxa"/>
            <w:vAlign w:val="bottom"/>
            <w:tcBorders>
              <w:bottom w:val="single" w:sz="8" w:color="5668B0"/>
            </w:tcBorders>
            <w:shd w:val="clear" w:color="auto" w:fill="E6ECF8"/>
          </w:tcPr>
          <w:p>
            <w:pPr>
              <w:spacing w:after="0"/>
              <w:rPr>
                <w:sz w:val="20"/>
                <w:szCs w:val="20"/>
                <w:color w:val="auto"/>
              </w:rPr>
            </w:pPr>
            <w:r>
              <w:rPr>
                <w:rFonts w:ascii="Arial" w:cs="Arial" w:eastAsia="Arial" w:hAnsi="Arial"/>
                <w:sz w:val="16"/>
                <w:szCs w:val="16"/>
                <w:color w:val="auto"/>
              </w:rPr>
              <w:t>Shareholder Right to Call Special Shareholder Meeting</w:t>
            </w:r>
          </w:p>
        </w:tc>
        <w:tc>
          <w:tcPr>
            <w:tcW w:w="2600" w:type="dxa"/>
            <w:vAlign w:val="bottom"/>
            <w:tcBorders>
              <w:bottom w:val="single" w:sz="8" w:color="5668B0"/>
            </w:tcBorders>
            <w:shd w:val="clear" w:color="auto" w:fill="E6ECF8"/>
          </w:tcPr>
          <w:p>
            <w:pPr>
              <w:jc w:val="center"/>
              <w:ind w:left="2159"/>
              <w:spacing w:after="0"/>
              <w:rPr>
                <w:sz w:val="20"/>
                <w:szCs w:val="20"/>
                <w:color w:val="auto"/>
              </w:rPr>
            </w:pPr>
            <w:r>
              <w:rPr>
                <w:rFonts w:ascii="Arial" w:cs="Arial" w:eastAsia="Arial" w:hAnsi="Arial"/>
                <w:sz w:val="16"/>
                <w:szCs w:val="16"/>
                <w:color w:val="auto"/>
                <w:w w:val="89"/>
              </w:rPr>
              <w:t>ü</w:t>
            </w: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80" w:type="dxa"/>
            <w:vAlign w:val="bottom"/>
          </w:tcPr>
          <w:p>
            <w:pPr>
              <w:jc w:val="right"/>
              <w:ind w:right="205"/>
              <w:spacing w:after="0"/>
              <w:rPr>
                <w:sz w:val="20"/>
                <w:szCs w:val="20"/>
                <w:color w:val="auto"/>
              </w:rPr>
            </w:pPr>
            <w:r>
              <w:rPr>
                <w:rFonts w:ascii="Arial" w:cs="Arial" w:eastAsia="Arial" w:hAnsi="Arial"/>
                <w:sz w:val="7"/>
                <w:szCs w:val="7"/>
                <w:b w:val="1"/>
                <w:bCs w:val="1"/>
                <w:color w:val="5668B0"/>
                <w:w w:val="71"/>
              </w:rPr>
              <w:t>*</w:t>
            </w:r>
          </w:p>
        </w:tc>
        <w:tc>
          <w:tcPr>
            <w:tcW w:w="1440" w:type="dxa"/>
            <w:vAlign w:val="bottom"/>
            <w:vMerge w:val="restart"/>
          </w:tcPr>
          <w:p>
            <w:pPr>
              <w:ind w:left="220"/>
              <w:spacing w:after="0"/>
              <w:rPr>
                <w:sz w:val="20"/>
                <w:szCs w:val="20"/>
                <w:color w:val="auto"/>
              </w:rPr>
            </w:pPr>
            <w:r>
              <w:rPr>
                <w:rFonts w:ascii="Arial" w:cs="Arial" w:eastAsia="Arial" w:hAnsi="Arial"/>
                <w:sz w:val="13"/>
                <w:szCs w:val="13"/>
                <w:color w:val="auto"/>
              </w:rPr>
              <w:t>As of April 14, 2016.</w:t>
            </w:r>
          </w:p>
        </w:tc>
        <w:tc>
          <w:tcPr>
            <w:tcW w:w="0" w:type="dxa"/>
            <w:vAlign w:val="bottom"/>
          </w:tcPr>
          <w:p>
            <w:pPr>
              <w:spacing w:after="0"/>
              <w:rPr>
                <w:sz w:val="1"/>
                <w:szCs w:val="1"/>
                <w:color w:val="auto"/>
              </w:rPr>
            </w:pPr>
          </w:p>
        </w:tc>
      </w:tr>
      <w:tr>
        <w:trPr>
          <w:trHeight w:val="73"/>
        </w:trPr>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Proposal No. 2 – Ratification of PricewaterhouseCoopers LLP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No. 2: Ratification of Appointment of Independent Registered Public Accounting Firm" on page 33 for more information)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ask that our shareholders ratify the appointment of PricewaterhouseCoopers LLP as the Company's independent registered public accounting firm for 2016. Below is a summary of fees related to services provided to the Company by PricewaterhouseCoopers LLP for the years ended December 31, 2015 and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80" w:type="dxa"/>
            <w:vAlign w:val="bottom"/>
            <w:shd w:val="clear" w:color="auto" w:fill="5668B0"/>
          </w:tcPr>
          <w:p>
            <w:pPr>
              <w:spacing w:after="0"/>
              <w:rPr>
                <w:sz w:val="17"/>
                <w:szCs w:val="17"/>
                <w:color w:val="auto"/>
              </w:rPr>
            </w:pPr>
          </w:p>
        </w:tc>
        <w:tc>
          <w:tcPr>
            <w:tcW w:w="920" w:type="dxa"/>
            <w:vAlign w:val="bottom"/>
            <w:shd w:val="clear" w:color="auto" w:fill="5668B0"/>
          </w:tcPr>
          <w:p>
            <w:pPr>
              <w:spacing w:after="0"/>
              <w:rPr>
                <w:sz w:val="17"/>
                <w:szCs w:val="17"/>
                <w:color w:val="auto"/>
              </w:rPr>
            </w:pPr>
          </w:p>
        </w:tc>
        <w:tc>
          <w:tcPr>
            <w:tcW w:w="980" w:type="dxa"/>
            <w:vAlign w:val="bottom"/>
            <w:shd w:val="clear" w:color="auto" w:fill="5668B0"/>
          </w:tcPr>
          <w:p>
            <w:pPr>
              <w:jc w:val="right"/>
              <w:ind w:right="81"/>
              <w:spacing w:after="0"/>
              <w:rPr>
                <w:sz w:val="20"/>
                <w:szCs w:val="20"/>
                <w:color w:val="auto"/>
              </w:rPr>
            </w:pPr>
            <w:r>
              <w:rPr>
                <w:rFonts w:ascii="Arial" w:cs="Arial" w:eastAsia="Arial" w:hAnsi="Arial"/>
                <w:sz w:val="13"/>
                <w:szCs w:val="13"/>
                <w:color w:val="FFFFFE"/>
              </w:rPr>
              <w:t>2015</w:t>
            </w:r>
          </w:p>
        </w:tc>
        <w:tc>
          <w:tcPr>
            <w:tcW w:w="320" w:type="dxa"/>
            <w:vAlign w:val="bottom"/>
            <w:shd w:val="clear" w:color="auto" w:fill="5668B0"/>
          </w:tcPr>
          <w:p>
            <w:pPr>
              <w:spacing w:after="0"/>
              <w:rPr>
                <w:sz w:val="17"/>
                <w:szCs w:val="17"/>
                <w:color w:val="auto"/>
              </w:rPr>
            </w:pPr>
          </w:p>
        </w:tc>
        <w:tc>
          <w:tcPr>
            <w:tcW w:w="82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2014</w:t>
            </w:r>
          </w:p>
        </w:tc>
      </w:tr>
      <w:tr>
        <w:trPr>
          <w:trHeight w:val="190"/>
        </w:trPr>
        <w:tc>
          <w:tcPr>
            <w:tcW w:w="2180" w:type="dxa"/>
            <w:vAlign w:val="bottom"/>
            <w:shd w:val="clear" w:color="auto" w:fill="E6ECF8"/>
          </w:tcPr>
          <w:p>
            <w:pPr>
              <w:spacing w:after="0"/>
              <w:rPr>
                <w:sz w:val="20"/>
                <w:szCs w:val="20"/>
                <w:color w:val="auto"/>
              </w:rPr>
            </w:pPr>
            <w:r>
              <w:rPr>
                <w:rFonts w:ascii="Arial" w:cs="Arial" w:eastAsia="Arial" w:hAnsi="Arial"/>
                <w:sz w:val="16"/>
                <w:szCs w:val="16"/>
                <w:color w:val="auto"/>
              </w:rPr>
              <w:t>Audit Fees</w:t>
            </w:r>
          </w:p>
        </w:tc>
        <w:tc>
          <w:tcPr>
            <w:tcW w:w="92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shd w:val="clear" w:color="auto" w:fill="E6ECF8"/>
          </w:tcPr>
          <w:p>
            <w:pPr>
              <w:jc w:val="right"/>
              <w:ind w:right="81"/>
              <w:spacing w:after="0"/>
              <w:rPr>
                <w:sz w:val="20"/>
                <w:szCs w:val="20"/>
                <w:color w:val="auto"/>
              </w:rPr>
            </w:pPr>
            <w:r>
              <w:rPr>
                <w:rFonts w:ascii="Arial" w:cs="Arial" w:eastAsia="Arial" w:hAnsi="Arial"/>
                <w:sz w:val="16"/>
                <w:szCs w:val="16"/>
                <w:color w:val="auto"/>
              </w:rPr>
              <w:t>1,721,000</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1,567,493</w:t>
            </w:r>
          </w:p>
        </w:tc>
      </w:tr>
      <w:tr>
        <w:trPr>
          <w:trHeight w:val="190"/>
        </w:trPr>
        <w:tc>
          <w:tcPr>
            <w:tcW w:w="2180" w:type="dxa"/>
            <w:vAlign w:val="bottom"/>
            <w:shd w:val="clear" w:color="auto" w:fill="D0DBEF"/>
          </w:tcPr>
          <w:p>
            <w:pPr>
              <w:spacing w:after="0"/>
              <w:rPr>
                <w:sz w:val="20"/>
                <w:szCs w:val="20"/>
                <w:color w:val="auto"/>
              </w:rPr>
            </w:pPr>
            <w:r>
              <w:rPr>
                <w:rFonts w:ascii="Arial" w:cs="Arial" w:eastAsia="Arial" w:hAnsi="Arial"/>
                <w:sz w:val="16"/>
                <w:szCs w:val="16"/>
                <w:color w:val="auto"/>
              </w:rPr>
              <w:t>Audit-Related Fees</w:t>
            </w:r>
          </w:p>
        </w:tc>
        <w:tc>
          <w:tcPr>
            <w:tcW w:w="920" w:type="dxa"/>
            <w:vAlign w:val="bottom"/>
            <w:shd w:val="clear" w:color="auto" w:fill="D0DBEF"/>
          </w:tcPr>
          <w:p>
            <w:pPr>
              <w:spacing w:after="0"/>
              <w:rPr>
                <w:sz w:val="16"/>
                <w:szCs w:val="16"/>
                <w:color w:val="auto"/>
              </w:rPr>
            </w:pPr>
          </w:p>
        </w:tc>
        <w:tc>
          <w:tcPr>
            <w:tcW w:w="980" w:type="dxa"/>
            <w:vAlign w:val="bottom"/>
            <w:shd w:val="clear" w:color="auto" w:fill="D0DBEF"/>
          </w:tcPr>
          <w:p>
            <w:pPr>
              <w:jc w:val="right"/>
              <w:ind w:right="81"/>
              <w:spacing w:after="0"/>
              <w:rPr>
                <w:sz w:val="20"/>
                <w:szCs w:val="20"/>
                <w:color w:val="auto"/>
              </w:rPr>
            </w:pPr>
            <w:r>
              <w:rPr>
                <w:rFonts w:ascii="Arial" w:cs="Arial" w:eastAsia="Arial" w:hAnsi="Arial"/>
                <w:sz w:val="16"/>
                <w:szCs w:val="16"/>
                <w:color w:val="auto"/>
              </w:rPr>
              <w:t>2,007</w:t>
            </w:r>
          </w:p>
        </w:tc>
        <w:tc>
          <w:tcPr>
            <w:tcW w:w="320" w:type="dxa"/>
            <w:vAlign w:val="bottom"/>
            <w:shd w:val="clear" w:color="auto" w:fill="D0DBEF"/>
          </w:tcPr>
          <w:p>
            <w:pPr>
              <w:spacing w:after="0"/>
              <w:rPr>
                <w:sz w:val="16"/>
                <w:szCs w:val="16"/>
                <w:color w:val="auto"/>
              </w:rPr>
            </w:pPr>
          </w:p>
        </w:tc>
        <w:tc>
          <w:tcPr>
            <w:tcW w:w="8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2180" w:type="dxa"/>
            <w:vAlign w:val="bottom"/>
            <w:tcBorders>
              <w:bottom w:val="single" w:sz="8" w:color="5668B0"/>
            </w:tcBorders>
            <w:shd w:val="clear" w:color="auto" w:fill="E6ECF8"/>
          </w:tcPr>
          <w:p>
            <w:pPr>
              <w:spacing w:after="0"/>
              <w:rPr>
                <w:sz w:val="20"/>
                <w:szCs w:val="20"/>
                <w:color w:val="auto"/>
              </w:rPr>
            </w:pPr>
            <w:r>
              <w:rPr>
                <w:rFonts w:ascii="Arial" w:cs="Arial" w:eastAsia="Arial" w:hAnsi="Arial"/>
                <w:sz w:val="16"/>
                <w:szCs w:val="16"/>
                <w:color w:val="auto"/>
              </w:rPr>
              <w:t>All Other Fees</w:t>
            </w:r>
          </w:p>
        </w:tc>
        <w:tc>
          <w:tcPr>
            <w:tcW w:w="920" w:type="dxa"/>
            <w:vAlign w:val="bottom"/>
            <w:tcBorders>
              <w:bottom w:val="single" w:sz="8" w:color="5668B0"/>
            </w:tcBorders>
            <w:shd w:val="clear" w:color="auto" w:fill="E6ECF8"/>
          </w:tcPr>
          <w:p>
            <w:pPr>
              <w:spacing w:after="0"/>
              <w:rPr>
                <w:sz w:val="16"/>
                <w:szCs w:val="16"/>
                <w:color w:val="auto"/>
              </w:rPr>
            </w:pPr>
          </w:p>
        </w:tc>
        <w:tc>
          <w:tcPr>
            <w:tcW w:w="980" w:type="dxa"/>
            <w:vAlign w:val="bottom"/>
            <w:tcBorders>
              <w:bottom w:val="single" w:sz="8" w:color="5668B0"/>
            </w:tcBorders>
            <w:shd w:val="clear" w:color="auto" w:fill="E6ECF8"/>
          </w:tcPr>
          <w:p>
            <w:pPr>
              <w:jc w:val="right"/>
              <w:ind w:right="81"/>
              <w:spacing w:after="0"/>
              <w:rPr>
                <w:sz w:val="20"/>
                <w:szCs w:val="20"/>
                <w:color w:val="auto"/>
              </w:rPr>
            </w:pPr>
            <w:r>
              <w:rPr>
                <w:rFonts w:ascii="Arial" w:cs="Arial" w:eastAsia="Arial" w:hAnsi="Arial"/>
                <w:sz w:val="16"/>
                <w:szCs w:val="16"/>
                <w:color w:val="auto"/>
              </w:rPr>
              <w:t>4,637</w:t>
            </w:r>
          </w:p>
        </w:tc>
        <w:tc>
          <w:tcPr>
            <w:tcW w:w="320" w:type="dxa"/>
            <w:vAlign w:val="bottom"/>
            <w:tcBorders>
              <w:bottom w:val="single" w:sz="8" w:color="5668B0"/>
            </w:tcBorders>
            <w:shd w:val="clear" w:color="auto" w:fill="E6ECF8"/>
          </w:tcPr>
          <w:p>
            <w:pPr>
              <w:spacing w:after="0"/>
              <w:rPr>
                <w:sz w:val="16"/>
                <w:szCs w:val="16"/>
                <w:color w:val="auto"/>
              </w:rPr>
            </w:pPr>
          </w:p>
        </w:tc>
        <w:tc>
          <w:tcPr>
            <w:tcW w:w="82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4,812</w:t>
            </w:r>
          </w:p>
        </w:tc>
      </w:tr>
      <w:tr>
        <w:trPr>
          <w:trHeight w:val="182"/>
        </w:trPr>
        <w:tc>
          <w:tcPr>
            <w:tcW w:w="2180" w:type="dxa"/>
            <w:vAlign w:val="bottom"/>
            <w:shd w:val="clear" w:color="auto" w:fill="D0DBEF"/>
          </w:tcPr>
          <w:p>
            <w:pPr>
              <w:spacing w:after="0" w:line="182" w:lineRule="exact"/>
              <w:rPr>
                <w:sz w:val="20"/>
                <w:szCs w:val="20"/>
                <w:color w:val="auto"/>
              </w:rPr>
            </w:pPr>
            <w:r>
              <w:rPr>
                <w:rFonts w:ascii="Arial" w:cs="Arial" w:eastAsia="Arial" w:hAnsi="Arial"/>
                <w:sz w:val="16"/>
                <w:szCs w:val="16"/>
                <w:color w:val="auto"/>
              </w:rPr>
              <w:t>Total Fees</w:t>
            </w:r>
          </w:p>
        </w:tc>
        <w:tc>
          <w:tcPr>
            <w:tcW w:w="92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shd w:val="clear" w:color="auto" w:fill="D0DBEF"/>
          </w:tcPr>
          <w:p>
            <w:pPr>
              <w:jc w:val="right"/>
              <w:ind w:right="81"/>
              <w:spacing w:after="0" w:line="182" w:lineRule="exact"/>
              <w:rPr>
                <w:sz w:val="20"/>
                <w:szCs w:val="20"/>
                <w:color w:val="auto"/>
              </w:rPr>
            </w:pPr>
            <w:r>
              <w:rPr>
                <w:rFonts w:ascii="Arial" w:cs="Arial" w:eastAsia="Arial" w:hAnsi="Arial"/>
                <w:sz w:val="16"/>
                <w:szCs w:val="16"/>
                <w:color w:val="auto"/>
              </w:rPr>
              <w:t>1,727,644</w:t>
            </w:r>
          </w:p>
        </w:tc>
        <w:tc>
          <w:tcPr>
            <w:tcW w:w="32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1,572,305</w:t>
            </w:r>
          </w:p>
        </w:tc>
      </w:tr>
    </w:tbl>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2015 Performance Overview </w:t>
      </w:r>
      <w:r>
        <w:rPr>
          <w:rFonts w:ascii="Arial" w:cs="Arial" w:eastAsia="Arial" w:hAnsi="Arial"/>
          <w:sz w:val="16"/>
          <w:szCs w:val="16"/>
          <w:color w:val="auto"/>
        </w:rPr>
        <w:t>(see "Executive Compensation –</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Discussion and Analysis – Section 1 – Summary – 2014 Performance Overview" on page 35 for more information)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2015 was another extraordinary year for Regeneron. Our key accomplishments in 2015 included:</w:t>
      </w:r>
    </w:p>
    <w:p>
      <w:pPr>
        <w:spacing w:after="0" w:line="177" w:lineRule="exact"/>
        <w:rPr>
          <w:sz w:val="20"/>
          <w:szCs w:val="20"/>
          <w:color w:val="auto"/>
        </w:rPr>
      </w:pPr>
    </w:p>
    <w:p>
      <w:pPr>
        <w:ind w:left="500" w:hanging="499"/>
        <w:spacing w:after="0" w:line="264" w:lineRule="auto"/>
        <w:tabs>
          <w:tab w:leader="none" w:pos="500" w:val="left"/>
        </w:tabs>
        <w:numPr>
          <w:ilvl w:val="0"/>
          <w:numId w:val="5"/>
        </w:numPr>
        <w:rPr>
          <w:rFonts w:ascii="Arial" w:cs="Arial" w:eastAsia="Arial" w:hAnsi="Arial"/>
          <w:sz w:val="16"/>
          <w:szCs w:val="16"/>
          <w:color w:val="5668B0"/>
        </w:rPr>
      </w:pPr>
      <w:r>
        <w:rPr>
          <w:rFonts w:ascii="Arial" w:cs="Arial" w:eastAsia="Arial" w:hAnsi="Arial"/>
          <w:sz w:val="16"/>
          <w:szCs w:val="16"/>
          <w:color w:val="auto"/>
        </w:rPr>
        <w:t>47% growth in EYLEA® (aflibercept) Injection global net product sales as compared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440055</wp:posOffset>
            </wp:positionV>
            <wp:extent cx="642620" cy="193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440055</wp:posOffset>
            </wp:positionV>
            <wp:extent cx="8255" cy="193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503" w:hanging="503"/>
        <w:spacing w:after="0"/>
        <w:tabs>
          <w:tab w:leader="none" w:pos="503" w:val="left"/>
        </w:tabs>
        <w:numPr>
          <w:ilvl w:val="0"/>
          <w:numId w:val="6"/>
        </w:numPr>
        <w:rPr>
          <w:rFonts w:ascii="Arial" w:cs="Arial" w:eastAsia="Arial" w:hAnsi="Arial"/>
          <w:sz w:val="16"/>
          <w:szCs w:val="16"/>
          <w:color w:val="5668B0"/>
        </w:rPr>
      </w:pPr>
      <w:r>
        <w:rPr>
          <w:rFonts w:ascii="Arial" w:cs="Arial" w:eastAsia="Arial" w:hAnsi="Arial"/>
          <w:sz w:val="16"/>
          <w:szCs w:val="16"/>
          <w:color w:val="auto"/>
        </w:rPr>
        <w:t>46% growth in our total revenues as compared to 2014;</w:t>
      </w:r>
    </w:p>
    <w:p>
      <w:pPr>
        <w:spacing w:after="0" w:line="208" w:lineRule="exact"/>
        <w:rPr>
          <w:rFonts w:ascii="Arial" w:cs="Arial" w:eastAsia="Arial" w:hAnsi="Arial"/>
          <w:sz w:val="16"/>
          <w:szCs w:val="16"/>
          <w:color w:val="5668B0"/>
        </w:rPr>
      </w:pPr>
    </w:p>
    <w:p>
      <w:pPr>
        <w:jc w:val="both"/>
        <w:ind w:left="503" w:hanging="503"/>
        <w:spacing w:after="0" w:line="251" w:lineRule="auto"/>
        <w:tabs>
          <w:tab w:leader="none" w:pos="503" w:val="left"/>
        </w:tabs>
        <w:numPr>
          <w:ilvl w:val="0"/>
          <w:numId w:val="6"/>
        </w:numPr>
        <w:rPr>
          <w:rFonts w:ascii="Arial" w:cs="Arial" w:eastAsia="Arial" w:hAnsi="Arial"/>
          <w:sz w:val="16"/>
          <w:szCs w:val="16"/>
          <w:color w:val="5668B0"/>
        </w:rPr>
      </w:pPr>
      <w:r>
        <w:rPr>
          <w:rFonts w:ascii="Arial" w:cs="Arial" w:eastAsia="Arial" w:hAnsi="Arial"/>
          <w:sz w:val="16"/>
          <w:szCs w:val="16"/>
          <w:color w:val="auto"/>
        </w:rPr>
        <w:t>19% growth in non-GAAP net income as compared to 2014 (non-GAAP net income is not a measure calculated in accordance with U.S. Generally Accepted Accounting Principles; see Appendix A for a definition of non-GAAP net income and a reconciliation of non-GAAP net income to net income);</w:t>
      </w:r>
    </w:p>
    <w:p>
      <w:pPr>
        <w:spacing w:after="0" w:line="176" w:lineRule="exact"/>
        <w:rPr>
          <w:rFonts w:ascii="Arial" w:cs="Arial" w:eastAsia="Arial" w:hAnsi="Arial"/>
          <w:sz w:val="16"/>
          <w:szCs w:val="16"/>
          <w:color w:val="5668B0"/>
        </w:rPr>
      </w:pPr>
    </w:p>
    <w:p>
      <w:pPr>
        <w:jc w:val="both"/>
        <w:ind w:left="503" w:hanging="503"/>
        <w:spacing w:after="0" w:line="249" w:lineRule="auto"/>
        <w:tabs>
          <w:tab w:leader="none" w:pos="503" w:val="left"/>
        </w:tabs>
        <w:numPr>
          <w:ilvl w:val="0"/>
          <w:numId w:val="6"/>
        </w:numPr>
        <w:rPr>
          <w:rFonts w:ascii="Arial" w:cs="Arial" w:eastAsia="Arial" w:hAnsi="Arial"/>
          <w:sz w:val="16"/>
          <w:szCs w:val="16"/>
          <w:color w:val="5668B0"/>
        </w:rPr>
      </w:pPr>
      <w:r>
        <w:rPr>
          <w:rFonts w:ascii="Arial" w:cs="Arial" w:eastAsia="Arial" w:hAnsi="Arial"/>
          <w:sz w:val="16"/>
          <w:szCs w:val="16"/>
          <w:color w:val="auto"/>
        </w:rPr>
        <w:t>advances in our EYLEA® franchise, including regulatory approval of EYLEA® for the treatment of visual impairment due to macular edema secondary to retinal vein occlusion and the treatment of visual impairment secondary to myopic choroidal neovascularization in the European Union; regulatory approval of EYLEA® for the treatment of diabetic retinopathy in patients with diabetic macular edema in the United States; and regulatory approval of EYLEA® for the treatment of retinal vein occlusion in Japan;</w:t>
      </w:r>
    </w:p>
    <w:p>
      <w:pPr>
        <w:spacing w:after="0" w:line="370" w:lineRule="exact"/>
        <w:rPr>
          <w:rFonts w:ascii="Arial" w:cs="Arial" w:eastAsia="Arial" w:hAnsi="Arial"/>
          <w:sz w:val="16"/>
          <w:szCs w:val="16"/>
          <w:color w:val="5668B0"/>
        </w:rPr>
      </w:pPr>
    </w:p>
    <w:p>
      <w:pPr>
        <w:jc w:val="both"/>
        <w:ind w:left="503" w:hanging="503"/>
        <w:spacing w:after="0" w:line="254" w:lineRule="auto"/>
        <w:tabs>
          <w:tab w:leader="none" w:pos="503" w:val="left"/>
        </w:tabs>
        <w:numPr>
          <w:ilvl w:val="0"/>
          <w:numId w:val="6"/>
        </w:numPr>
        <w:rPr>
          <w:rFonts w:ascii="Arial" w:cs="Arial" w:eastAsia="Arial" w:hAnsi="Arial"/>
          <w:sz w:val="16"/>
          <w:szCs w:val="16"/>
          <w:color w:val="5668B0"/>
        </w:rPr>
      </w:pPr>
      <w:r>
        <w:rPr>
          <w:rFonts w:ascii="Arial" w:cs="Arial" w:eastAsia="Arial" w:hAnsi="Arial"/>
          <w:sz w:val="16"/>
          <w:szCs w:val="16"/>
          <w:color w:val="auto"/>
        </w:rPr>
        <w:t>regulatory approval and launch of Praluent® (alirocumab) Injection, the first drug approved by the U.S. Food and Drug Administration ("FDA") in a new class of drugs that lower LDL ("bad") cholesterol;</w:t>
      </w:r>
    </w:p>
    <w:p>
      <w:pPr>
        <w:spacing w:after="0" w:line="377" w:lineRule="exact"/>
        <w:rPr>
          <w:rFonts w:ascii="Arial" w:cs="Arial" w:eastAsia="Arial" w:hAnsi="Arial"/>
          <w:sz w:val="16"/>
          <w:szCs w:val="16"/>
          <w:color w:val="5668B0"/>
        </w:rPr>
      </w:pPr>
    </w:p>
    <w:p>
      <w:pPr>
        <w:jc w:val="both"/>
        <w:ind w:left="503" w:hanging="503"/>
        <w:spacing w:after="0" w:line="253" w:lineRule="auto"/>
        <w:tabs>
          <w:tab w:leader="none" w:pos="503" w:val="left"/>
        </w:tabs>
        <w:numPr>
          <w:ilvl w:val="0"/>
          <w:numId w:val="6"/>
        </w:numPr>
        <w:rPr>
          <w:rFonts w:ascii="Arial" w:cs="Arial" w:eastAsia="Arial" w:hAnsi="Arial"/>
          <w:sz w:val="16"/>
          <w:szCs w:val="16"/>
          <w:color w:val="5668B0"/>
        </w:rPr>
      </w:pPr>
      <w:r>
        <w:rPr>
          <w:rFonts w:ascii="Arial" w:cs="Arial" w:eastAsia="Arial" w:hAnsi="Arial"/>
          <w:sz w:val="16"/>
          <w:szCs w:val="16"/>
          <w:color w:val="auto"/>
        </w:rPr>
        <w:t>positive Phase 3 data for sarilumab from three Phase 3 studies in patients with rheumatoid arthritis (SARIL-RA-TARGET, SARIL-RA-EASY, and SARIL-RA-ASCERTAIN) and submission of a Biologics License Application for sarilumab with the FDA;</w:t>
      </w:r>
    </w:p>
    <w:p>
      <w:pPr>
        <w:spacing w:after="0" w:line="200"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p>
      <w:pPr>
        <w:spacing w:after="0" w:line="94" w:lineRule="exact"/>
        <w:rPr>
          <w:sz w:val="20"/>
          <w:szCs w:val="20"/>
          <w:color w:val="auto"/>
        </w:rPr>
      </w:pPr>
    </w:p>
    <w:p>
      <w:pPr>
        <w:ind w:left="1160" w:hanging="698"/>
        <w:spacing w:after="0"/>
        <w:tabs>
          <w:tab w:leader="none" w:pos="1160" w:val="left"/>
        </w:tabs>
        <w:numPr>
          <w:ilvl w:val="0"/>
          <w:numId w:val="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hanging="499"/>
        <w:spacing w:after="0" w:line="255" w:lineRule="auto"/>
        <w:tabs>
          <w:tab w:leader="none" w:pos="500" w:val="left"/>
        </w:tabs>
        <w:numPr>
          <w:ilvl w:val="0"/>
          <w:numId w:val="8"/>
        </w:numPr>
        <w:rPr>
          <w:rFonts w:ascii="Arial" w:cs="Arial" w:eastAsia="Arial" w:hAnsi="Arial"/>
          <w:sz w:val="16"/>
          <w:szCs w:val="16"/>
          <w:color w:val="5668B0"/>
        </w:rPr>
      </w:pPr>
      <w:r>
        <w:rPr>
          <w:rFonts w:ascii="Arial" w:cs="Arial" w:eastAsia="Arial" w:hAnsi="Arial"/>
          <w:sz w:val="16"/>
          <w:szCs w:val="16"/>
          <w:color w:val="auto"/>
        </w:rPr>
        <w:t>positive pivotal Phase 2b data for dupilumab in asthma and completion of enrollment of the dupilumab atopic dermatitis Phase 3 studies;</w:t>
      </w:r>
    </w:p>
    <w:p>
      <w:pPr>
        <w:spacing w:after="0" w:line="185" w:lineRule="exact"/>
        <w:rPr>
          <w:rFonts w:ascii="Arial" w:cs="Arial" w:eastAsia="Arial" w:hAnsi="Arial"/>
          <w:sz w:val="16"/>
          <w:szCs w:val="16"/>
          <w:color w:val="5668B0"/>
        </w:rPr>
      </w:pPr>
    </w:p>
    <w:p>
      <w:pPr>
        <w:jc w:val="both"/>
        <w:ind w:left="500" w:hanging="499"/>
        <w:spacing w:after="0" w:line="255" w:lineRule="auto"/>
        <w:tabs>
          <w:tab w:leader="none" w:pos="500" w:val="left"/>
        </w:tabs>
        <w:numPr>
          <w:ilvl w:val="0"/>
          <w:numId w:val="8"/>
        </w:numPr>
        <w:rPr>
          <w:rFonts w:ascii="Arial" w:cs="Arial" w:eastAsia="Arial" w:hAnsi="Arial"/>
          <w:sz w:val="16"/>
          <w:szCs w:val="16"/>
          <w:color w:val="5668B0"/>
        </w:rPr>
      </w:pPr>
      <w:r>
        <w:rPr>
          <w:rFonts w:ascii="Arial" w:cs="Arial" w:eastAsia="Arial" w:hAnsi="Arial"/>
          <w:sz w:val="16"/>
          <w:szCs w:val="16"/>
          <w:color w:val="auto"/>
        </w:rPr>
        <w:t>new collaboration agreement relating to fasinumab with Mitsubishi Tanabe Pharma Corporation for Japan, Korea, and nine other Asian countries, excluding China;</w:t>
      </w:r>
    </w:p>
    <w:p>
      <w:pPr>
        <w:spacing w:after="0" w:line="172" w:lineRule="exact"/>
        <w:rPr>
          <w:rFonts w:ascii="Arial" w:cs="Arial" w:eastAsia="Arial" w:hAnsi="Arial"/>
          <w:sz w:val="16"/>
          <w:szCs w:val="16"/>
          <w:color w:val="5668B0"/>
        </w:rPr>
      </w:pPr>
    </w:p>
    <w:p>
      <w:pPr>
        <w:ind w:left="500" w:right="20" w:hanging="499"/>
        <w:spacing w:after="0" w:line="264" w:lineRule="auto"/>
        <w:tabs>
          <w:tab w:leader="none" w:pos="500" w:val="left"/>
        </w:tabs>
        <w:numPr>
          <w:ilvl w:val="0"/>
          <w:numId w:val="8"/>
        </w:numPr>
        <w:rPr>
          <w:rFonts w:ascii="Arial" w:cs="Arial" w:eastAsia="Arial" w:hAnsi="Arial"/>
          <w:sz w:val="16"/>
          <w:szCs w:val="16"/>
          <w:color w:val="5668B0"/>
        </w:rPr>
      </w:pPr>
      <w:r>
        <w:rPr>
          <w:rFonts w:ascii="Arial" w:cs="Arial" w:eastAsia="Arial" w:hAnsi="Arial"/>
          <w:sz w:val="16"/>
          <w:szCs w:val="16"/>
          <w:color w:val="auto"/>
        </w:rPr>
        <w:t>initiation of Phase 3 clinical study of REGN2222 for Respiratory Syncytial Virus;</w:t>
      </w:r>
    </w:p>
    <w:p>
      <w:pPr>
        <w:spacing w:after="0" w:line="164" w:lineRule="exact"/>
        <w:rPr>
          <w:rFonts w:ascii="Arial" w:cs="Arial" w:eastAsia="Arial" w:hAnsi="Arial"/>
          <w:sz w:val="16"/>
          <w:szCs w:val="16"/>
          <w:color w:val="5668B0"/>
        </w:rPr>
      </w:pPr>
    </w:p>
    <w:p>
      <w:pPr>
        <w:jc w:val="both"/>
        <w:ind w:left="500" w:right="20" w:hanging="499"/>
        <w:spacing w:after="0" w:line="250" w:lineRule="auto"/>
        <w:tabs>
          <w:tab w:leader="none" w:pos="500" w:val="left"/>
        </w:tabs>
        <w:numPr>
          <w:ilvl w:val="0"/>
          <w:numId w:val="8"/>
        </w:numPr>
        <w:rPr>
          <w:rFonts w:ascii="Arial" w:cs="Arial" w:eastAsia="Arial" w:hAnsi="Arial"/>
          <w:sz w:val="16"/>
          <w:szCs w:val="16"/>
          <w:color w:val="5668B0"/>
        </w:rPr>
      </w:pPr>
      <w:r>
        <w:rPr>
          <w:rFonts w:ascii="Arial" w:cs="Arial" w:eastAsia="Arial" w:hAnsi="Arial"/>
          <w:sz w:val="16"/>
          <w:szCs w:val="16"/>
          <w:color w:val="auto"/>
        </w:rPr>
        <w:t xml:space="preserve">continued growth of our clinical development pipeline, as evidenced by the submission of one Investigational New Drug Application with the FDA in 2015 and 13 product candidates (consisting of one Trap-based and 12 fully-human monoclonal antibody product candidates based on the Company's </w:t>
      </w:r>
      <w:r>
        <w:rPr>
          <w:rFonts w:ascii="Arial" w:cs="Arial" w:eastAsia="Arial" w:hAnsi="Arial"/>
          <w:sz w:val="16"/>
          <w:szCs w:val="16"/>
          <w:i w:val="1"/>
          <w:iCs w:val="1"/>
          <w:color w:val="auto"/>
        </w:rPr>
        <w:t xml:space="preserve">VelocImmune® </w:t>
      </w:r>
      <w:r>
        <w:rPr>
          <w:rFonts w:ascii="Arial" w:cs="Arial" w:eastAsia="Arial" w:hAnsi="Arial"/>
          <w:sz w:val="16"/>
          <w:szCs w:val="16"/>
          <w:color w:val="auto"/>
        </w:rPr>
        <w:t>technology) in clinical development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w:t>
      </w:r>
    </w:p>
    <w:p>
      <w:pPr>
        <w:spacing w:after="0" w:line="381" w:lineRule="exact"/>
        <w:rPr>
          <w:rFonts w:ascii="Arial" w:cs="Arial" w:eastAsia="Arial" w:hAnsi="Arial"/>
          <w:sz w:val="16"/>
          <w:szCs w:val="16"/>
          <w:color w:val="5668B0"/>
        </w:rPr>
      </w:pPr>
    </w:p>
    <w:p>
      <w:pPr>
        <w:jc w:val="both"/>
        <w:ind w:left="500" w:hanging="499"/>
        <w:spacing w:after="0" w:line="255" w:lineRule="auto"/>
        <w:tabs>
          <w:tab w:leader="none" w:pos="500" w:val="left"/>
        </w:tabs>
        <w:numPr>
          <w:ilvl w:val="0"/>
          <w:numId w:val="8"/>
        </w:numPr>
        <w:rPr>
          <w:rFonts w:ascii="Arial" w:cs="Arial" w:eastAsia="Arial" w:hAnsi="Arial"/>
          <w:sz w:val="16"/>
          <w:szCs w:val="16"/>
          <w:color w:val="5668B0"/>
        </w:rPr>
      </w:pPr>
      <w:r>
        <w:rPr>
          <w:rFonts w:ascii="Arial" w:cs="Arial" w:eastAsia="Arial" w:hAnsi="Arial"/>
          <w:sz w:val="16"/>
          <w:szCs w:val="16"/>
          <w:color w:val="auto"/>
        </w:rPr>
        <w:t>new global strategic collaboration with Sanofi to discover, develop, and commercialize antibody-based cancer treatments in the field of immuno-oncology; and</w:t>
      </w:r>
    </w:p>
    <w:p>
      <w:pPr>
        <w:spacing w:after="0" w:line="172" w:lineRule="exact"/>
        <w:rPr>
          <w:rFonts w:ascii="Arial" w:cs="Arial" w:eastAsia="Arial" w:hAnsi="Arial"/>
          <w:sz w:val="16"/>
          <w:szCs w:val="16"/>
          <w:color w:val="5668B0"/>
        </w:rPr>
      </w:pPr>
    </w:p>
    <w:p>
      <w:pPr>
        <w:jc w:val="both"/>
        <w:ind w:left="500" w:hanging="499"/>
        <w:spacing w:after="0" w:line="250" w:lineRule="auto"/>
        <w:tabs>
          <w:tab w:leader="none" w:pos="500" w:val="left"/>
        </w:tabs>
        <w:numPr>
          <w:ilvl w:val="0"/>
          <w:numId w:val="8"/>
        </w:numPr>
        <w:rPr>
          <w:rFonts w:ascii="Arial" w:cs="Arial" w:eastAsia="Arial" w:hAnsi="Arial"/>
          <w:sz w:val="16"/>
          <w:szCs w:val="16"/>
          <w:color w:val="5668B0"/>
        </w:rPr>
      </w:pPr>
      <w:r>
        <w:rPr>
          <w:rFonts w:ascii="Arial" w:cs="Arial" w:eastAsia="Arial" w:hAnsi="Arial"/>
          <w:sz w:val="16"/>
          <w:szCs w:val="16"/>
          <w:color w:val="auto"/>
        </w:rPr>
        <w:t>further important steps to support our current and future growth, including adding two new buildings in the Tarrytown campus providing nearly 300,000 square feet of additional laboratory and office space; significant progress with the construction of a new manufacturing facility in Limerick, Ireland; and increasing headcount on a year-over-year basis by approximately 47% as of December 31, 2015.</w:t>
      </w:r>
    </w:p>
    <w:p>
      <w:pPr>
        <w:spacing w:after="0" w:line="189" w:lineRule="exact"/>
        <w:rPr>
          <w:sz w:val="20"/>
          <w:szCs w:val="20"/>
          <w:color w:val="auto"/>
        </w:rPr>
      </w:pPr>
    </w:p>
    <w:p>
      <w:pPr>
        <w:jc w:val="both"/>
        <w:ind w:right="20"/>
        <w:spacing w:after="0" w:line="221" w:lineRule="auto"/>
        <w:rPr>
          <w:sz w:val="20"/>
          <w:szCs w:val="20"/>
          <w:color w:val="auto"/>
        </w:rPr>
      </w:pPr>
      <w:r>
        <w:rPr>
          <w:rFonts w:ascii="Arial" w:cs="Arial" w:eastAsia="Arial" w:hAnsi="Arial"/>
          <w:sz w:val="16"/>
          <w:szCs w:val="16"/>
          <w:color w:val="auto"/>
        </w:rPr>
        <w:t>Our strong performance is reflected in the appreciation of our stock price, which increased 32%, 217%, and 1554% over the one-, three-, and five-year periods ended December 31, 2015, respectively. This shareholder return places our common stock performance in the 85</w:t>
      </w:r>
      <w:r>
        <w:rPr>
          <w:rFonts w:ascii="Arial" w:cs="Arial" w:eastAsia="Arial" w:hAnsi="Arial"/>
          <w:sz w:val="27"/>
          <w:szCs w:val="27"/>
          <w:color w:val="auto"/>
          <w:vertAlign w:val="superscript"/>
        </w:rPr>
        <w:t>th</w:t>
      </w:r>
      <w:r>
        <w:rPr>
          <w:rFonts w:ascii="Arial" w:cs="Arial" w:eastAsia="Arial" w:hAnsi="Arial"/>
          <w:sz w:val="16"/>
          <w:szCs w:val="16"/>
          <w:color w:val="auto"/>
        </w:rPr>
        <w:t>, 90</w:t>
      </w:r>
      <w:r>
        <w:rPr>
          <w:rFonts w:ascii="Arial" w:cs="Arial" w:eastAsia="Arial" w:hAnsi="Arial"/>
          <w:sz w:val="27"/>
          <w:szCs w:val="27"/>
          <w:color w:val="auto"/>
          <w:vertAlign w:val="superscript"/>
        </w:rPr>
        <w:t>th</w:t>
      </w:r>
      <w:r>
        <w:rPr>
          <w:rFonts w:ascii="Arial" w:cs="Arial" w:eastAsia="Arial" w:hAnsi="Arial"/>
          <w:sz w:val="16"/>
          <w:szCs w:val="16"/>
          <w:color w:val="auto"/>
        </w:rPr>
        <w:t>, and</w:t>
      </w:r>
    </w:p>
    <w:p>
      <w:pPr>
        <w:spacing w:after="0" w:line="3" w:lineRule="exact"/>
        <w:rPr>
          <w:sz w:val="20"/>
          <w:szCs w:val="20"/>
          <w:color w:val="auto"/>
        </w:rPr>
      </w:pPr>
    </w:p>
    <w:p>
      <w:pPr>
        <w:jc w:val="both"/>
        <w:ind w:right="20"/>
        <w:spacing w:after="0" w:line="206" w:lineRule="auto"/>
        <w:rPr>
          <w:sz w:val="20"/>
          <w:szCs w:val="20"/>
          <w:color w:val="auto"/>
        </w:rPr>
      </w:pPr>
      <w:r>
        <w:rPr>
          <w:rFonts w:ascii="Arial" w:cs="Arial" w:eastAsia="Arial" w:hAnsi="Arial"/>
          <w:sz w:val="16"/>
          <w:szCs w:val="16"/>
          <w:color w:val="auto"/>
        </w:rPr>
        <w:t>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respectively, of all NASDAQ-listed companies with a market capitalization greater than $5 billion in those periods.</w:t>
      </w:r>
    </w:p>
    <w:p>
      <w:pPr>
        <w:spacing w:after="0" w:line="176"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(see "Executive Compensation" on page 35</w:t>
      </w:r>
      <w:r>
        <w:rPr>
          <w:rFonts w:ascii="Arial" w:cs="Arial" w:eastAsia="Arial" w:hAnsi="Arial"/>
          <w:sz w:val="16"/>
          <w:szCs w:val="16"/>
          <w:b w:val="1"/>
          <w:bCs w:val="1"/>
          <w:color w:val="auto"/>
        </w:rPr>
        <w:t xml:space="preserve"> </w:t>
      </w:r>
      <w:r>
        <w:rPr>
          <w:rFonts w:ascii="Arial" w:cs="Arial" w:eastAsia="Arial" w:hAnsi="Arial"/>
          <w:sz w:val="16"/>
          <w:szCs w:val="16"/>
          <w:color w:val="auto"/>
        </w:rPr>
        <w:t>for more information)</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believe that the leadership of the current executive team has been instrumental to our success in 2015 and prior years, and that an executive compensation program that attracts, motivates, and helps retain key executives, including the Named Officers, is critical to our long-term success.</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main objectives of our executive compensation program are to pay for performance; closely align the interests of shareholders and management; strike a balance between short- and long-term perspectives and support our long-term growth prospects; and attract and retain highly skilled and talented executives in a competitive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1273175</wp:posOffset>
            </wp:positionV>
            <wp:extent cx="725995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These objectives were reflected in our 2015 compensation decisions in a number of ways, including the following:</w:t>
      </w:r>
    </w:p>
    <w:p>
      <w:pPr>
        <w:spacing w:after="0" w:line="157" w:lineRule="exact"/>
        <w:rPr>
          <w:sz w:val="20"/>
          <w:szCs w:val="20"/>
          <w:color w:val="auto"/>
        </w:rPr>
      </w:pPr>
    </w:p>
    <w:p>
      <w:pPr>
        <w:jc w:val="both"/>
        <w:ind w:left="503" w:hanging="503"/>
        <w:spacing w:after="0" w:line="252" w:lineRule="auto"/>
        <w:tabs>
          <w:tab w:leader="none" w:pos="503" w:val="left"/>
        </w:tabs>
        <w:numPr>
          <w:ilvl w:val="0"/>
          <w:numId w:val="9"/>
        </w:numPr>
        <w:rPr>
          <w:rFonts w:ascii="Arial" w:cs="Arial" w:eastAsia="Arial" w:hAnsi="Arial"/>
          <w:sz w:val="16"/>
          <w:szCs w:val="16"/>
          <w:color w:val="5668B0"/>
        </w:rPr>
      </w:pPr>
      <w:r>
        <w:rPr>
          <w:rFonts w:ascii="Arial" w:cs="Arial" w:eastAsia="Arial" w:hAnsi="Arial"/>
          <w:sz w:val="16"/>
          <w:szCs w:val="16"/>
          <w:b w:val="1"/>
          <w:bCs w:val="1"/>
          <w:i w:val="1"/>
          <w:iCs w:val="1"/>
          <w:color w:val="auto"/>
        </w:rPr>
        <w:t xml:space="preserve">We believe in performance-based compensation and long-term incentives. </w:t>
      </w:r>
      <w:r>
        <w:rPr>
          <w:rFonts w:ascii="Arial" w:cs="Arial" w:eastAsia="Arial" w:hAnsi="Arial"/>
          <w:sz w:val="16"/>
          <w:szCs w:val="16"/>
          <w:color w:val="auto"/>
        </w:rPr>
        <w:t>In 2015, we continued to rely primarily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compensation, both for our short-term (cash bonus) and long-term incentives (stock option awards). This emphasis on performance-based compensation (particularly long-term incentives in the form of stock options) has been a consistent part of our philosophy since Regeneron's inception, including prior to the significant appreciation in Regeneron's stock price that began in early 2011.</w:t>
      </w:r>
    </w:p>
    <w:p>
      <w:pPr>
        <w:spacing w:after="0" w:line="171" w:lineRule="exact"/>
        <w:rPr>
          <w:rFonts w:ascii="Arial" w:cs="Arial" w:eastAsia="Arial" w:hAnsi="Arial"/>
          <w:sz w:val="16"/>
          <w:szCs w:val="16"/>
          <w:color w:val="5668B0"/>
        </w:rPr>
      </w:pPr>
    </w:p>
    <w:p>
      <w:pPr>
        <w:jc w:val="both"/>
        <w:ind w:left="503" w:hanging="503"/>
        <w:spacing w:after="0" w:line="251" w:lineRule="auto"/>
        <w:tabs>
          <w:tab w:leader="none" w:pos="503" w:val="left"/>
        </w:tabs>
        <w:numPr>
          <w:ilvl w:val="0"/>
          <w:numId w:val="9"/>
        </w:numPr>
        <w:rPr>
          <w:rFonts w:ascii="Arial" w:cs="Arial" w:eastAsia="Arial" w:hAnsi="Arial"/>
          <w:sz w:val="16"/>
          <w:szCs w:val="16"/>
          <w:color w:val="5668B0"/>
        </w:rPr>
      </w:pPr>
      <w:r>
        <w:rPr>
          <w:rFonts w:ascii="Arial" w:cs="Arial" w:eastAsia="Arial" w:hAnsi="Arial"/>
          <w:sz w:val="16"/>
          <w:szCs w:val="16"/>
          <w:b w:val="1"/>
          <w:bCs w:val="1"/>
          <w:i w:val="1"/>
          <w:iCs w:val="1"/>
          <w:color w:val="auto"/>
        </w:rPr>
        <w:t xml:space="preserve">We believe that time-based stock options are inherently performance based, as they provide value to employees only if there is future stock price appreciation and do not provide any value to employees if the stock price declines below the exercise price. </w:t>
      </w:r>
      <w:r>
        <w:rPr>
          <w:rFonts w:ascii="Arial" w:cs="Arial" w:eastAsia="Arial" w:hAnsi="Arial"/>
          <w:sz w:val="16"/>
          <w:szCs w:val="16"/>
          <w:color w:val="auto"/>
        </w:rPr>
        <w:t>As illustrated by the charts in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 Compensation Discussion and Analysis – Section 2 – Analysis of 2015 Executive Compensation Based on Compensation Objectives," this emphasis on stock options has resulted in close alignment of our Chief Executive Officer's compensation in 2015 and over the last five years with the performance of our common stock over those periods:</w:t>
      </w:r>
    </w:p>
    <w:p>
      <w:pPr>
        <w:spacing w:after="0" w:line="383" w:lineRule="exact"/>
        <w:rPr>
          <w:sz w:val="20"/>
          <w:szCs w:val="20"/>
          <w:color w:val="auto"/>
        </w:rPr>
      </w:pPr>
    </w:p>
    <w:p>
      <w:pPr>
        <w:jc w:val="both"/>
        <w:ind w:left="1523" w:hanging="511"/>
        <w:spacing w:after="0" w:line="229" w:lineRule="auto"/>
        <w:tabs>
          <w:tab w:leader="none" w:pos="1523" w:val="left"/>
        </w:tabs>
        <w:numPr>
          <w:ilvl w:val="0"/>
          <w:numId w:val="10"/>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Both in 2015 and over the five-year period ended December 31, 2015, the year-over-year increases in our Chief Executive Officer's compensation were principally attributable to the significant appreciation in our stock price, which increased the reported grant date fair value of our Chief Executive Officer's stock option awards as determined according to the Black-Scholes model for valuing stock options.</w:t>
      </w:r>
    </w:p>
    <w:p>
      <w:pPr>
        <w:spacing w:after="0" w:line="187" w:lineRule="exact"/>
        <w:rPr>
          <w:rFonts w:ascii="Courier New" w:cs="Courier New" w:eastAsia="Courier New" w:hAnsi="Courier New"/>
          <w:sz w:val="27"/>
          <w:szCs w:val="27"/>
          <w:b w:val="1"/>
          <w:bCs w:val="1"/>
          <w:color w:val="5668B0"/>
          <w:vertAlign w:val="superscript"/>
        </w:rPr>
      </w:pPr>
    </w:p>
    <w:p>
      <w:pPr>
        <w:jc w:val="both"/>
        <w:ind w:left="1523" w:hanging="511"/>
        <w:spacing w:after="0" w:line="239" w:lineRule="auto"/>
        <w:tabs>
          <w:tab w:leader="none" w:pos="1523" w:val="left"/>
        </w:tabs>
        <w:numPr>
          <w:ilvl w:val="0"/>
          <w:numId w:val="10"/>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Over the same periods, the Black-Scholes grant date fair value of stock option grants to our Chief Executive Officer increased less than the appreciation of our stock price, in part because the absolute number of stock options granted to our Chief Executive Officer decreased in the last three years. The number of shares underlying the annual stock option award to our Chief Executive Officer in 2015 was approximately 39% lower than in 2012, while the stock price appreciated 217% over the same period. As a result, the appreciation in the reported value of our Chief Executive Officer's pay was significantly below the appreciation of our stock price, both cumulatively over the five-year period and on a year-over-year basis. This means that the value of our long-term shareholders' investment in Regeneron grew more rapidly than our CEO's pay over those periods.</w:t>
      </w:r>
    </w:p>
    <w:p>
      <w:pPr>
        <w:spacing w:after="0" w:line="186" w:lineRule="exact"/>
        <w:rPr>
          <w:rFonts w:ascii="Courier New" w:cs="Courier New" w:eastAsia="Courier New" w:hAnsi="Courier New"/>
          <w:sz w:val="27"/>
          <w:szCs w:val="27"/>
          <w:b w:val="1"/>
          <w:bCs w:val="1"/>
          <w:color w:val="5668B0"/>
          <w:vertAlign w:val="superscript"/>
        </w:rPr>
      </w:pPr>
    </w:p>
    <w:p>
      <w:pPr>
        <w:jc w:val="both"/>
        <w:ind w:left="1523" w:hanging="511"/>
        <w:spacing w:after="0" w:line="220" w:lineRule="auto"/>
        <w:tabs>
          <w:tab w:leader="none" w:pos="1523" w:val="left"/>
        </w:tabs>
        <w:numPr>
          <w:ilvl w:val="0"/>
          <w:numId w:val="10"/>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To further illustrate this point, over the last five years, our Chief Executive Officer's total direct compensation, as a percentage of Regeneron's capitalization in the year in which the compensation was awarded, decreased from 0.20% to 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251460</wp:posOffset>
            </wp:positionV>
            <wp:extent cx="8255" cy="1930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376" w:lineRule="exact"/>
        <w:rPr>
          <w:sz w:val="20"/>
          <w:szCs w:val="20"/>
          <w:color w:val="auto"/>
        </w:rPr>
      </w:pPr>
    </w:p>
    <w:tbl>
      <w:tblPr>
        <w:tblLayout w:type="fixed"/>
        <w:tblInd w:w="3023" w:type="dxa"/>
        <w:tblCellMar>
          <w:top w:w="0" w:type="dxa"/>
          <w:left w:w="0" w:type="dxa"/>
          <w:bottom w:w="0" w:type="dxa"/>
          <w:right w:w="0" w:type="dxa"/>
        </w:tblCellMar>
      </w:tblPr>
      <w:tr>
        <w:trPr>
          <w:trHeight w:val="304"/>
        </w:trPr>
        <w:tc>
          <w:tcPr>
            <w:tcW w:w="1340" w:type="dxa"/>
            <w:vAlign w:val="bottom"/>
          </w:tcPr>
          <w:p>
            <w:pPr>
              <w:spacing w:after="0"/>
              <w:rPr>
                <w:sz w:val="20"/>
                <w:szCs w:val="20"/>
                <w:color w:val="auto"/>
              </w:rPr>
            </w:pPr>
            <w:r>
              <w:rPr>
                <w:rFonts w:ascii="Arial" w:cs="Arial" w:eastAsia="Arial" w:hAnsi="Arial"/>
                <w:sz w:val="16"/>
                <w:szCs w:val="16"/>
                <w:color w:val="183394"/>
              </w:rPr>
              <w:t>Proxy Summary</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3</w:t>
            </w:r>
          </w:p>
        </w:tc>
      </w:tr>
    </w:tbl>
    <w:p>
      <w:pPr>
        <w:sectPr>
          <w:pgSz w:w="11900" w:h="16838" w:orient="portrait"/>
          <w:cols w:equalWidth="0" w:num="2">
            <w:col w:w="5380" w:space="677"/>
            <w:col w:w="5363"/>
          </w:cols>
          <w:pgMar w:left="240" w:top="142"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both"/>
        <w:ind w:left="1520" w:right="20" w:hanging="507"/>
        <w:spacing w:after="0" w:line="231" w:lineRule="auto"/>
        <w:tabs>
          <w:tab w:leader="none" w:pos="1520" w:val="left"/>
        </w:tabs>
        <w:numPr>
          <w:ilvl w:val="1"/>
          <w:numId w:val="11"/>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As a result of our emphasis on performance-based compensation, on a relative basis when compared to our Peer Group, the total direct compensation of our Chief Executive Officer over the last three years was also closely aligned with the performance of our common stock even when taking into account the reported grant date fair value of our Chief Executive Officer's stock option awards as determined according to the Black-Scholes model.</w:t>
      </w:r>
    </w:p>
    <w:p>
      <w:pPr>
        <w:spacing w:after="0" w:line="369" w:lineRule="exact"/>
        <w:rPr>
          <w:rFonts w:ascii="Courier New" w:cs="Courier New" w:eastAsia="Courier New" w:hAnsi="Courier New"/>
          <w:sz w:val="27"/>
          <w:szCs w:val="27"/>
          <w:b w:val="1"/>
          <w:bCs w:val="1"/>
          <w:color w:val="5668B0"/>
          <w:vertAlign w:val="superscript"/>
        </w:rPr>
      </w:pPr>
    </w:p>
    <w:p>
      <w:pPr>
        <w:jc w:val="both"/>
        <w:ind w:left="500" w:hanging="499"/>
        <w:spacing w:after="0" w:line="249" w:lineRule="auto"/>
        <w:tabs>
          <w:tab w:leader="none" w:pos="500" w:val="left"/>
        </w:tabs>
        <w:numPr>
          <w:ilvl w:val="0"/>
          <w:numId w:val="11"/>
        </w:numPr>
        <w:rPr>
          <w:rFonts w:ascii="Arial" w:cs="Arial" w:eastAsia="Arial" w:hAnsi="Arial"/>
          <w:sz w:val="16"/>
          <w:szCs w:val="16"/>
          <w:color w:val="5668B0"/>
        </w:rPr>
      </w:pPr>
      <w:r>
        <w:rPr>
          <w:rFonts w:ascii="Arial" w:cs="Arial" w:eastAsia="Arial" w:hAnsi="Arial"/>
          <w:sz w:val="16"/>
          <w:szCs w:val="16"/>
          <w:b w:val="1"/>
          <w:bCs w:val="1"/>
          <w:i w:val="1"/>
          <w:iCs w:val="1"/>
          <w:color w:val="auto"/>
        </w:rPr>
        <w:t xml:space="preserve">We believe in year-over-year consistency in making compensation decisions and in striking a balance between the dilutive impact of equity grants and the competitiveness of our compensation program. </w:t>
      </w:r>
      <w:r>
        <w:rPr>
          <w:rFonts w:ascii="Arial" w:cs="Arial" w:eastAsia="Arial" w:hAnsi="Arial"/>
          <w:sz w:val="16"/>
          <w:szCs w:val="16"/>
          <w:color w:val="auto"/>
        </w:rPr>
        <w:t>In our compensation decisions,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focus on the number of shares underlying equity awards relative to the number of basic shares of common stock outstanding, rather than the grant date fair value of the award (as determined according to the Black-Scholes model). We believe this ownership- and dilution-based approach to awarding stock options provides a better measure of the amount of potential increases in shareholder value that would be shared by the awards and allows us to evaluate such grants on a consistent basis as compared to other companies and regardless of fluctuations in the price of Regeneron's or other companies' common stock. Further, focusing on the number of shares and the incremental sharing rate of potential future upside (rather than targeting a specific Black-Scholes grant date fair value) avoids rewarding officers with larger grant sizes following a decline in our stock price.</w:t>
      </w:r>
    </w:p>
    <w:p>
      <w:pPr>
        <w:spacing w:after="0" w:line="200" w:lineRule="exact"/>
        <w:rPr>
          <w:rFonts w:ascii="Arial" w:cs="Arial" w:eastAsia="Arial" w:hAnsi="Arial"/>
          <w:sz w:val="16"/>
          <w:szCs w:val="16"/>
          <w:color w:val="5668B0"/>
        </w:rPr>
      </w:pPr>
    </w:p>
    <w:p>
      <w:pPr>
        <w:spacing w:after="0" w:line="382" w:lineRule="exact"/>
        <w:rPr>
          <w:rFonts w:ascii="Arial" w:cs="Arial" w:eastAsia="Arial" w:hAnsi="Arial"/>
          <w:sz w:val="16"/>
          <w:szCs w:val="16"/>
          <w:color w:val="5668B0"/>
        </w:rPr>
      </w:pPr>
    </w:p>
    <w:p>
      <w:pPr>
        <w:jc w:val="both"/>
        <w:ind w:left="1520" w:right="20" w:hanging="507"/>
        <w:spacing w:after="0" w:line="203" w:lineRule="auto"/>
        <w:tabs>
          <w:tab w:leader="none" w:pos="1520" w:val="left"/>
        </w:tabs>
        <w:numPr>
          <w:ilvl w:val="1"/>
          <w:numId w:val="11"/>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As a percentage of the total basic shares outstanding, the 2015 stock option award to our Chief Executive Officer was significantly below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companies included in the 2015 Radford Global Life Sciences Survey and only slightly above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(at 0.166% compared to 0.290% and 0.154%, respectively). In addition, this award was below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our Biotech R&amp;D Peers (which was 0.183%).</w:t>
      </w:r>
    </w:p>
    <w:p>
      <w:pPr>
        <w:spacing w:after="0" w:line="187" w:lineRule="exact"/>
        <w:rPr>
          <w:rFonts w:ascii="Courier New" w:cs="Courier New" w:eastAsia="Courier New" w:hAnsi="Courier New"/>
          <w:sz w:val="27"/>
          <w:szCs w:val="27"/>
          <w:b w:val="1"/>
          <w:bCs w:val="1"/>
          <w:color w:val="5668B0"/>
          <w:vertAlign w:val="superscript"/>
        </w:rPr>
      </w:pPr>
    </w:p>
    <w:p>
      <w:pPr>
        <w:jc w:val="both"/>
        <w:ind w:left="1520" w:right="20" w:hanging="507"/>
        <w:spacing w:after="0" w:line="214" w:lineRule="auto"/>
        <w:tabs>
          <w:tab w:leader="none" w:pos="1520" w:val="left"/>
        </w:tabs>
        <w:numPr>
          <w:ilvl w:val="1"/>
          <w:numId w:val="11"/>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In 2015, the Compensation Committee reduced the number of shares underlying the annual stock option awards to the Named Officers by 15% compared to 2014 (other than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ind w:left="1520"/>
        <w:spacing w:after="0" w:line="248" w:lineRule="auto"/>
        <w:rPr>
          <w:sz w:val="20"/>
          <w:szCs w:val="20"/>
          <w:color w:val="auto"/>
        </w:rPr>
      </w:pPr>
      <w:r>
        <w:rPr>
          <w:rFonts w:ascii="Arial" w:cs="Arial" w:eastAsia="Arial" w:hAnsi="Arial"/>
          <w:sz w:val="16"/>
          <w:szCs w:val="16"/>
          <w:color w:val="auto"/>
        </w:rPr>
        <w:t>Mr. Terifay's award, which remained at the 2014 level due to his promotion to Executive Vice President, Commercial). This decrease constituted the third consecutive double-digit percentage decrease in the annual grant of stock options to our Named Officers, in each case following outstanding TSR performance. In reducing the size of 2015 annual stock option awards to executives, the Compensation Committee sought to reduce the potential dilutive impact of new equity awards without adversely affecting the competitiveness of our executive compensation program, which has successfully motivated our senior management team to deliver high operating performance and shareholder value.</w:t>
      </w:r>
    </w:p>
    <w:p>
      <w:pPr>
        <w:spacing w:after="0" w:line="375" w:lineRule="exact"/>
        <w:rPr>
          <w:sz w:val="20"/>
          <w:szCs w:val="20"/>
          <w:color w:val="auto"/>
        </w:rPr>
      </w:pPr>
    </w:p>
    <w:p>
      <w:pPr>
        <w:jc w:val="both"/>
        <w:ind w:left="1520" w:hanging="511"/>
        <w:spacing w:after="0" w:line="235" w:lineRule="auto"/>
        <w:tabs>
          <w:tab w:leader="none" w:pos="1520" w:val="left"/>
        </w:tabs>
        <w:numPr>
          <w:ilvl w:val="0"/>
          <w:numId w:val="12"/>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We continued to pay close attention to our burn rate. Despite the expansive growth of our employee base, which increased by 121% between 2012 and 2015 (from 1,950 full-time employees to 4,303 full-time employees), our burn rate decreased from 5.4% to 4.4% over the same period, and we maintained a three-year burn rate average of 4.1% in 2015. We achieved this reduction through implementing three consecutive double-digit percentage decreases in the number of shares underlying annual stock option awards, without eliminating the broad-based nature of our equity compensation program.</w:t>
      </w:r>
    </w:p>
    <w:p>
      <w:pPr>
        <w:spacing w:after="0" w:line="186" w:lineRule="exact"/>
        <w:rPr>
          <w:rFonts w:ascii="Courier New" w:cs="Courier New" w:eastAsia="Courier New" w:hAnsi="Courier New"/>
          <w:sz w:val="27"/>
          <w:szCs w:val="27"/>
          <w:b w:val="1"/>
          <w:bCs w:val="1"/>
          <w:color w:val="5668B0"/>
          <w:vertAlign w:val="superscript"/>
        </w:rPr>
      </w:pPr>
    </w:p>
    <w:p>
      <w:pPr>
        <w:jc w:val="both"/>
        <w:ind w:left="1520" w:hanging="511"/>
        <w:spacing w:after="0" w:line="229" w:lineRule="auto"/>
        <w:tabs>
          <w:tab w:leader="none" w:pos="1520" w:val="left"/>
        </w:tabs>
        <w:numPr>
          <w:ilvl w:val="0"/>
          <w:numId w:val="12"/>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We believe our approach to equity compensation has helped us to successfully grow and manage employee attrition, as evidenced by our 2015 employee turnover of approximately 6%, which compares favorably to the average employee turnover of approximately 18% for the life sciences sector based on the Fourth Quarter 2015 Radford Global Life Sciences Trends Report.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Compensation Policies and Practices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compensation policies and practices designed to enhance governance of our executive compensation program and to further our compensation objectives. These policies and practices include:</w:t>
      </w:r>
    </w:p>
    <w:p>
      <w:pPr>
        <w:spacing w:after="0" w:line="833"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80" w:type="dxa"/>
            <w:vAlign w:val="bottom"/>
            <w:gridSpan w:val="4"/>
            <w:shd w:val="clear" w:color="auto" w:fill="E6ECF8"/>
          </w:tcPr>
          <w:p>
            <w:pPr>
              <w:spacing w:after="0"/>
              <w:rPr>
                <w:sz w:val="20"/>
                <w:szCs w:val="20"/>
                <w:color w:val="auto"/>
              </w:rPr>
            </w:pPr>
            <w:r>
              <w:rPr>
                <w:rFonts w:ascii="Arial" w:cs="Arial" w:eastAsia="Arial" w:hAnsi="Arial"/>
                <w:sz w:val="16"/>
                <w:szCs w:val="16"/>
                <w:color w:val="auto"/>
              </w:rPr>
              <w:t>Engagement and use of an independent compensation consultant by the</w:t>
            </w:r>
          </w:p>
        </w:tc>
        <w:tc>
          <w:tcPr>
            <w:tcW w:w="5740" w:type="dxa"/>
            <w:vAlign w:val="bottom"/>
            <w:shd w:val="clear" w:color="auto" w:fill="E6ECF8"/>
          </w:tcPr>
          <w:p>
            <w:pPr>
              <w:ind w:left="380"/>
              <w:spacing w:after="0"/>
              <w:rPr>
                <w:sz w:val="20"/>
                <w:szCs w:val="20"/>
                <w:color w:val="auto"/>
              </w:rPr>
            </w:pPr>
            <w:r>
              <w:rPr>
                <w:rFonts w:ascii="Arial" w:cs="Arial" w:eastAsia="Arial" w:hAnsi="Arial"/>
                <w:sz w:val="16"/>
                <w:szCs w:val="16"/>
                <w:color w:val="auto"/>
              </w:rPr>
              <w:t>No "single trigger" change-in-control severance or vesting arrangements</w:t>
            </w:r>
          </w:p>
        </w:tc>
        <w:tc>
          <w:tcPr>
            <w:tcW w:w="0" w:type="dxa"/>
            <w:vAlign w:val="bottom"/>
          </w:tcPr>
          <w:p>
            <w:pPr>
              <w:spacing w:after="0"/>
              <w:rPr>
                <w:sz w:val="1"/>
                <w:szCs w:val="1"/>
                <w:color w:val="auto"/>
              </w:rPr>
            </w:pPr>
          </w:p>
        </w:tc>
      </w:tr>
      <w:tr>
        <w:trPr>
          <w:trHeight w:val="187"/>
        </w:trPr>
        <w:tc>
          <w:tcPr>
            <w:tcW w:w="5680" w:type="dxa"/>
            <w:vAlign w:val="bottom"/>
            <w:gridSpan w:val="4"/>
            <w:shd w:val="clear" w:color="auto" w:fill="E6ECF8"/>
          </w:tcPr>
          <w:p>
            <w:pPr>
              <w:spacing w:after="0"/>
              <w:rPr>
                <w:sz w:val="20"/>
                <w:szCs w:val="20"/>
                <w:color w:val="auto"/>
              </w:rPr>
            </w:pPr>
            <w:r>
              <w:rPr>
                <w:rFonts w:ascii="Arial" w:cs="Arial" w:eastAsia="Arial" w:hAnsi="Arial"/>
                <w:sz w:val="16"/>
                <w:szCs w:val="16"/>
                <w:color w:val="auto"/>
              </w:rPr>
              <w:t>Compensation Committee</w:t>
            </w:r>
          </w:p>
        </w:tc>
        <w:tc>
          <w:tcPr>
            <w:tcW w:w="5740" w:type="dxa"/>
            <w:vAlign w:val="bottom"/>
            <w:shd w:val="clear" w:color="auto" w:fill="E6ECF8"/>
          </w:tcPr>
          <w:p>
            <w:pPr>
              <w:ind w:left="380"/>
              <w:spacing w:after="0"/>
              <w:rPr>
                <w:sz w:val="20"/>
                <w:szCs w:val="20"/>
                <w:color w:val="auto"/>
              </w:rPr>
            </w:pPr>
            <w:r>
              <w:rPr>
                <w:rFonts w:ascii="Arial" w:cs="Arial" w:eastAsia="Arial" w:hAnsi="Arial"/>
                <w:sz w:val="16"/>
                <w:szCs w:val="16"/>
                <w:color w:val="auto"/>
              </w:rPr>
              <w:t>for the Named Officers</w:t>
            </w:r>
          </w:p>
        </w:tc>
        <w:tc>
          <w:tcPr>
            <w:tcW w:w="0" w:type="dxa"/>
            <w:vAlign w:val="bottom"/>
          </w:tcPr>
          <w:p>
            <w:pPr>
              <w:spacing w:after="0"/>
              <w:rPr>
                <w:sz w:val="1"/>
                <w:szCs w:val="1"/>
                <w:color w:val="auto"/>
              </w:rPr>
            </w:pPr>
          </w:p>
        </w:tc>
      </w:tr>
      <w:tr>
        <w:trPr>
          <w:trHeight w:val="421"/>
        </w:trPr>
        <w:tc>
          <w:tcPr>
            <w:tcW w:w="5680" w:type="dxa"/>
            <w:vAlign w:val="bottom"/>
            <w:gridSpan w:val="4"/>
            <w:shd w:val="clear" w:color="auto" w:fill="D0DBEF"/>
          </w:tcPr>
          <w:p>
            <w:pPr>
              <w:spacing w:after="0"/>
              <w:rPr>
                <w:sz w:val="20"/>
                <w:szCs w:val="20"/>
                <w:color w:val="auto"/>
              </w:rPr>
            </w:pPr>
            <w:r>
              <w:rPr>
                <w:rFonts w:ascii="Arial" w:cs="Arial" w:eastAsia="Arial" w:hAnsi="Arial"/>
                <w:sz w:val="16"/>
                <w:szCs w:val="16"/>
                <w:color w:val="auto"/>
              </w:rPr>
              <w:t>Stock ownership guidelines for senior executives and directors</w:t>
            </w:r>
          </w:p>
        </w:tc>
        <w:tc>
          <w:tcPr>
            <w:tcW w:w="5740" w:type="dxa"/>
            <w:vAlign w:val="bottom"/>
            <w:shd w:val="clear" w:color="auto" w:fill="D0DBEF"/>
          </w:tcPr>
          <w:p>
            <w:pPr>
              <w:ind w:left="380"/>
              <w:spacing w:after="0"/>
              <w:rPr>
                <w:sz w:val="20"/>
                <w:szCs w:val="20"/>
                <w:color w:val="auto"/>
              </w:rPr>
            </w:pPr>
            <w:r>
              <w:rPr>
                <w:rFonts w:ascii="Arial" w:cs="Arial" w:eastAsia="Arial" w:hAnsi="Arial"/>
                <w:sz w:val="16"/>
                <w:szCs w:val="16"/>
                <w:color w:val="auto"/>
              </w:rPr>
              <w:t>Policy against including excise tax gross-up provisions with respect to</w:t>
            </w:r>
          </w:p>
        </w:tc>
        <w:tc>
          <w:tcPr>
            <w:tcW w:w="0" w:type="dxa"/>
            <w:vAlign w:val="bottom"/>
          </w:tcPr>
          <w:p>
            <w:pPr>
              <w:spacing w:after="0"/>
              <w:rPr>
                <w:sz w:val="1"/>
                <w:szCs w:val="1"/>
                <w:color w:val="auto"/>
              </w:rPr>
            </w:pPr>
          </w:p>
        </w:tc>
      </w:tr>
      <w:tr>
        <w:trPr>
          <w:trHeight w:val="190"/>
        </w:trPr>
        <w:tc>
          <w:tcPr>
            <w:tcW w:w="1020" w:type="dxa"/>
            <w:vAlign w:val="bottom"/>
            <w:shd w:val="clear" w:color="auto" w:fill="D0DBEF"/>
          </w:tcPr>
          <w:p>
            <w:pPr>
              <w:spacing w:after="0"/>
              <w:rPr>
                <w:sz w:val="16"/>
                <w:szCs w:val="16"/>
                <w:color w:val="auto"/>
              </w:rPr>
            </w:pPr>
          </w:p>
        </w:tc>
        <w:tc>
          <w:tcPr>
            <w:tcW w:w="120" w:type="dxa"/>
            <w:vAlign w:val="bottom"/>
            <w:shd w:val="clear" w:color="auto" w:fill="D0DBEF"/>
          </w:tcPr>
          <w:p>
            <w:pPr>
              <w:spacing w:after="0"/>
              <w:rPr>
                <w:sz w:val="16"/>
                <w:szCs w:val="16"/>
                <w:color w:val="auto"/>
              </w:rPr>
            </w:pPr>
          </w:p>
        </w:tc>
        <w:tc>
          <w:tcPr>
            <w:tcW w:w="1820" w:type="dxa"/>
            <w:vAlign w:val="bottom"/>
            <w:tcBorders>
              <w:right w:val="single" w:sz="8" w:color="D0DBEF"/>
            </w:tcBorders>
            <w:shd w:val="clear" w:color="auto" w:fill="D0DBEF"/>
          </w:tcPr>
          <w:p>
            <w:pPr>
              <w:spacing w:after="0"/>
              <w:rPr>
                <w:sz w:val="16"/>
                <w:szCs w:val="16"/>
                <w:color w:val="auto"/>
              </w:rPr>
            </w:pPr>
          </w:p>
        </w:tc>
        <w:tc>
          <w:tcPr>
            <w:tcW w:w="2720" w:type="dxa"/>
            <w:vAlign w:val="bottom"/>
            <w:shd w:val="clear" w:color="auto" w:fill="D0DBEF"/>
          </w:tcPr>
          <w:p>
            <w:pPr>
              <w:spacing w:after="0"/>
              <w:rPr>
                <w:sz w:val="16"/>
                <w:szCs w:val="16"/>
                <w:color w:val="auto"/>
              </w:rPr>
            </w:pPr>
          </w:p>
        </w:tc>
        <w:tc>
          <w:tcPr>
            <w:tcW w:w="5740" w:type="dxa"/>
            <w:vAlign w:val="bottom"/>
            <w:shd w:val="clear" w:color="auto" w:fill="D0DBEF"/>
          </w:tcPr>
          <w:p>
            <w:pPr>
              <w:ind w:left="380"/>
              <w:spacing w:after="0"/>
              <w:rPr>
                <w:sz w:val="20"/>
                <w:szCs w:val="20"/>
                <w:color w:val="auto"/>
              </w:rPr>
            </w:pPr>
            <w:r>
              <w:rPr>
                <w:rFonts w:ascii="Arial" w:cs="Arial" w:eastAsia="Arial" w:hAnsi="Arial"/>
                <w:sz w:val="16"/>
                <w:szCs w:val="16"/>
                <w:color w:val="auto"/>
              </w:rPr>
              <w:t>payments contingent upon a change in control of Regeneron in</w:t>
            </w:r>
          </w:p>
        </w:tc>
        <w:tc>
          <w:tcPr>
            <w:tcW w:w="0" w:type="dxa"/>
            <w:vAlign w:val="bottom"/>
          </w:tcPr>
          <w:p>
            <w:pPr>
              <w:spacing w:after="0"/>
              <w:rPr>
                <w:sz w:val="1"/>
                <w:szCs w:val="1"/>
                <w:color w:val="auto"/>
              </w:rPr>
            </w:pPr>
          </w:p>
        </w:tc>
      </w:tr>
      <w:tr>
        <w:trPr>
          <w:trHeight w:val="190"/>
        </w:trPr>
        <w:tc>
          <w:tcPr>
            <w:tcW w:w="1020" w:type="dxa"/>
            <w:vAlign w:val="bottom"/>
            <w:shd w:val="clear" w:color="auto" w:fill="D0DBEF"/>
          </w:tcPr>
          <w:p>
            <w:pPr>
              <w:spacing w:after="0"/>
              <w:rPr>
                <w:sz w:val="16"/>
                <w:szCs w:val="16"/>
                <w:color w:val="auto"/>
              </w:rPr>
            </w:pPr>
          </w:p>
        </w:tc>
        <w:tc>
          <w:tcPr>
            <w:tcW w:w="120" w:type="dxa"/>
            <w:vAlign w:val="bottom"/>
            <w:shd w:val="clear" w:color="auto" w:fill="D0DBEF"/>
          </w:tcPr>
          <w:p>
            <w:pPr>
              <w:spacing w:after="0"/>
              <w:rPr>
                <w:sz w:val="16"/>
                <w:szCs w:val="16"/>
                <w:color w:val="auto"/>
              </w:rPr>
            </w:pPr>
          </w:p>
        </w:tc>
        <w:tc>
          <w:tcPr>
            <w:tcW w:w="1820" w:type="dxa"/>
            <w:vAlign w:val="bottom"/>
            <w:tcBorders>
              <w:right w:val="single" w:sz="8" w:color="D0DBEF"/>
            </w:tcBorders>
            <w:shd w:val="clear" w:color="auto" w:fill="D0DBEF"/>
          </w:tcPr>
          <w:p>
            <w:pPr>
              <w:spacing w:after="0"/>
              <w:rPr>
                <w:sz w:val="16"/>
                <w:szCs w:val="16"/>
                <w:color w:val="auto"/>
              </w:rPr>
            </w:pPr>
          </w:p>
        </w:tc>
        <w:tc>
          <w:tcPr>
            <w:tcW w:w="2720" w:type="dxa"/>
            <w:vAlign w:val="bottom"/>
            <w:shd w:val="clear" w:color="auto" w:fill="D0DBEF"/>
          </w:tcPr>
          <w:p>
            <w:pPr>
              <w:spacing w:after="0"/>
              <w:rPr>
                <w:sz w:val="16"/>
                <w:szCs w:val="16"/>
                <w:color w:val="auto"/>
              </w:rPr>
            </w:pPr>
          </w:p>
        </w:tc>
        <w:tc>
          <w:tcPr>
            <w:tcW w:w="5740" w:type="dxa"/>
            <w:vAlign w:val="bottom"/>
            <w:shd w:val="clear" w:color="auto" w:fill="D0DBEF"/>
          </w:tcPr>
          <w:p>
            <w:pPr>
              <w:ind w:left="380"/>
              <w:spacing w:after="0"/>
              <w:rPr>
                <w:sz w:val="20"/>
                <w:szCs w:val="20"/>
                <w:color w:val="auto"/>
              </w:rPr>
            </w:pPr>
            <w:r>
              <w:rPr>
                <w:rFonts w:ascii="Arial" w:cs="Arial" w:eastAsia="Arial" w:hAnsi="Arial"/>
                <w:sz w:val="16"/>
                <w:szCs w:val="16"/>
                <w:color w:val="auto"/>
              </w:rPr>
              <w:t>compensatory arrangements with executive officers, including the Named</w:t>
            </w:r>
          </w:p>
        </w:tc>
        <w:tc>
          <w:tcPr>
            <w:tcW w:w="0" w:type="dxa"/>
            <w:vAlign w:val="bottom"/>
          </w:tcPr>
          <w:p>
            <w:pPr>
              <w:spacing w:after="0"/>
              <w:rPr>
                <w:sz w:val="1"/>
                <w:szCs w:val="1"/>
                <w:color w:val="auto"/>
              </w:rPr>
            </w:pPr>
          </w:p>
        </w:tc>
      </w:tr>
      <w:tr>
        <w:trPr>
          <w:trHeight w:val="187"/>
        </w:trPr>
        <w:tc>
          <w:tcPr>
            <w:tcW w:w="1020" w:type="dxa"/>
            <w:vAlign w:val="bottom"/>
            <w:shd w:val="clear" w:color="auto" w:fill="D0DBEF"/>
          </w:tcPr>
          <w:p>
            <w:pPr>
              <w:spacing w:after="0"/>
              <w:rPr>
                <w:sz w:val="16"/>
                <w:szCs w:val="16"/>
                <w:color w:val="auto"/>
              </w:rPr>
            </w:pPr>
          </w:p>
        </w:tc>
        <w:tc>
          <w:tcPr>
            <w:tcW w:w="120" w:type="dxa"/>
            <w:vAlign w:val="bottom"/>
            <w:shd w:val="clear" w:color="auto" w:fill="D0DBEF"/>
          </w:tcPr>
          <w:p>
            <w:pPr>
              <w:spacing w:after="0"/>
              <w:rPr>
                <w:sz w:val="16"/>
                <w:szCs w:val="16"/>
                <w:color w:val="auto"/>
              </w:rPr>
            </w:pPr>
          </w:p>
        </w:tc>
        <w:tc>
          <w:tcPr>
            <w:tcW w:w="1820" w:type="dxa"/>
            <w:vAlign w:val="bottom"/>
            <w:tcBorders>
              <w:right w:val="single" w:sz="8" w:color="D0DBEF"/>
            </w:tcBorders>
            <w:shd w:val="clear" w:color="auto" w:fill="D0DBEF"/>
          </w:tcPr>
          <w:p>
            <w:pPr>
              <w:spacing w:after="0"/>
              <w:rPr>
                <w:sz w:val="16"/>
                <w:szCs w:val="16"/>
                <w:color w:val="auto"/>
              </w:rPr>
            </w:pPr>
          </w:p>
        </w:tc>
        <w:tc>
          <w:tcPr>
            <w:tcW w:w="2720" w:type="dxa"/>
            <w:vAlign w:val="bottom"/>
            <w:shd w:val="clear" w:color="auto" w:fill="D0DBEF"/>
          </w:tcPr>
          <w:p>
            <w:pPr>
              <w:spacing w:after="0"/>
              <w:rPr>
                <w:sz w:val="16"/>
                <w:szCs w:val="16"/>
                <w:color w:val="auto"/>
              </w:rPr>
            </w:pPr>
          </w:p>
        </w:tc>
        <w:tc>
          <w:tcPr>
            <w:tcW w:w="5740" w:type="dxa"/>
            <w:vAlign w:val="bottom"/>
            <w:shd w:val="clear" w:color="auto" w:fill="D0DBEF"/>
          </w:tcPr>
          <w:p>
            <w:pPr>
              <w:ind w:left="380"/>
              <w:spacing w:after="0"/>
              <w:rPr>
                <w:sz w:val="20"/>
                <w:szCs w:val="20"/>
                <w:color w:val="auto"/>
              </w:rPr>
            </w:pPr>
            <w:r>
              <w:rPr>
                <w:rFonts w:ascii="Arial" w:cs="Arial" w:eastAsia="Arial" w:hAnsi="Arial"/>
                <w:sz w:val="16"/>
                <w:szCs w:val="16"/>
                <w:color w:val="auto"/>
              </w:rPr>
              <w:t>Officers (other than CEO employment agreement)</w:t>
            </w:r>
          </w:p>
        </w:tc>
        <w:tc>
          <w:tcPr>
            <w:tcW w:w="0" w:type="dxa"/>
            <w:vAlign w:val="bottom"/>
          </w:tcPr>
          <w:p>
            <w:pPr>
              <w:spacing w:after="0"/>
              <w:rPr>
                <w:sz w:val="1"/>
                <w:szCs w:val="1"/>
                <w:color w:val="auto"/>
              </w:rPr>
            </w:pPr>
          </w:p>
        </w:tc>
      </w:tr>
      <w:tr>
        <w:trPr>
          <w:trHeight w:val="190"/>
        </w:trPr>
        <w:tc>
          <w:tcPr>
            <w:tcW w:w="5680" w:type="dxa"/>
            <w:vAlign w:val="bottom"/>
            <w:gridSpan w:val="4"/>
            <w:shd w:val="clear" w:color="auto" w:fill="E6ECF8"/>
          </w:tcPr>
          <w:p>
            <w:pPr>
              <w:spacing w:after="0"/>
              <w:rPr>
                <w:sz w:val="20"/>
                <w:szCs w:val="20"/>
                <w:color w:val="auto"/>
              </w:rPr>
            </w:pPr>
            <w:r>
              <w:rPr>
                <w:rFonts w:ascii="Arial" w:cs="Arial" w:eastAsia="Arial" w:hAnsi="Arial"/>
                <w:sz w:val="16"/>
                <w:szCs w:val="16"/>
                <w:color w:val="auto"/>
              </w:rPr>
              <w:t>Transparent equity granting process and practices</w:t>
            </w:r>
          </w:p>
        </w:tc>
        <w:tc>
          <w:tcPr>
            <w:tcW w:w="5740" w:type="dxa"/>
            <w:vAlign w:val="bottom"/>
            <w:shd w:val="clear" w:color="auto" w:fill="E6ECF8"/>
          </w:tcPr>
          <w:p>
            <w:pPr>
              <w:ind w:left="380"/>
              <w:spacing w:after="0"/>
              <w:rPr>
                <w:sz w:val="20"/>
                <w:szCs w:val="20"/>
                <w:color w:val="auto"/>
              </w:rPr>
            </w:pPr>
            <w:r>
              <w:rPr>
                <w:rFonts w:ascii="Arial" w:cs="Arial" w:eastAsia="Arial" w:hAnsi="Arial"/>
                <w:sz w:val="16"/>
                <w:szCs w:val="16"/>
                <w:color w:val="auto"/>
              </w:rPr>
              <w:t>Limited perquisites</w:t>
            </w:r>
          </w:p>
        </w:tc>
        <w:tc>
          <w:tcPr>
            <w:tcW w:w="0" w:type="dxa"/>
            <w:vAlign w:val="bottom"/>
          </w:tcPr>
          <w:p>
            <w:pPr>
              <w:spacing w:after="0"/>
              <w:rPr>
                <w:sz w:val="1"/>
                <w:szCs w:val="1"/>
                <w:color w:val="auto"/>
              </w:rPr>
            </w:pPr>
          </w:p>
        </w:tc>
      </w:tr>
      <w:tr>
        <w:trPr>
          <w:trHeight w:val="193"/>
        </w:trPr>
        <w:tc>
          <w:tcPr>
            <w:tcW w:w="5680" w:type="dxa"/>
            <w:vAlign w:val="bottom"/>
            <w:gridSpan w:val="4"/>
            <w:shd w:val="clear" w:color="auto" w:fill="D0DBEF"/>
          </w:tcPr>
          <w:p>
            <w:pPr>
              <w:spacing w:after="0"/>
              <w:rPr>
                <w:sz w:val="20"/>
                <w:szCs w:val="20"/>
                <w:color w:val="auto"/>
              </w:rPr>
            </w:pPr>
            <w:r>
              <w:rPr>
                <w:rFonts w:ascii="Arial" w:cs="Arial" w:eastAsia="Arial" w:hAnsi="Arial"/>
                <w:sz w:val="16"/>
                <w:szCs w:val="16"/>
                <w:color w:val="auto"/>
              </w:rPr>
              <w:t>Policy regarding recoupment or reduction of incentive compensation that</w:t>
            </w:r>
          </w:p>
        </w:tc>
        <w:tc>
          <w:tcPr>
            <w:tcW w:w="5740" w:type="dxa"/>
            <w:vAlign w:val="bottom"/>
            <w:shd w:val="clear" w:color="auto" w:fill="D0DBEF"/>
          </w:tcPr>
          <w:p>
            <w:pPr>
              <w:ind w:left="380"/>
              <w:spacing w:after="0"/>
              <w:rPr>
                <w:sz w:val="20"/>
                <w:szCs w:val="20"/>
                <w:color w:val="auto"/>
              </w:rPr>
            </w:pPr>
            <w:r>
              <w:rPr>
                <w:rFonts w:ascii="Arial" w:cs="Arial" w:eastAsia="Arial" w:hAnsi="Arial"/>
                <w:sz w:val="16"/>
                <w:szCs w:val="16"/>
                <w:color w:val="auto"/>
              </w:rPr>
              <w:t>Compensation Committee and non-employee director oversight of our</w:t>
            </w:r>
          </w:p>
        </w:tc>
        <w:tc>
          <w:tcPr>
            <w:tcW w:w="0" w:type="dxa"/>
            <w:vAlign w:val="bottom"/>
          </w:tcPr>
          <w:p>
            <w:pPr>
              <w:spacing w:after="0"/>
              <w:rPr>
                <w:sz w:val="1"/>
                <w:szCs w:val="1"/>
                <w:color w:val="auto"/>
              </w:rPr>
            </w:pPr>
          </w:p>
        </w:tc>
      </w:tr>
      <w:tr>
        <w:trPr>
          <w:trHeight w:val="187"/>
        </w:trPr>
        <w:tc>
          <w:tcPr>
            <w:tcW w:w="5680" w:type="dxa"/>
            <w:vAlign w:val="bottom"/>
            <w:gridSpan w:val="4"/>
            <w:shd w:val="clear" w:color="auto" w:fill="D0DBEF"/>
          </w:tcPr>
          <w:p>
            <w:pPr>
              <w:spacing w:after="0"/>
              <w:rPr>
                <w:sz w:val="20"/>
                <w:szCs w:val="20"/>
                <w:color w:val="auto"/>
              </w:rPr>
            </w:pPr>
            <w:r>
              <w:rPr>
                <w:rFonts w:ascii="Arial" w:cs="Arial" w:eastAsia="Arial" w:hAnsi="Arial"/>
                <w:sz w:val="16"/>
                <w:szCs w:val="16"/>
                <w:color w:val="auto"/>
              </w:rPr>
              <w:t>is applicable to officers, including the Named Officers</w:t>
            </w:r>
          </w:p>
        </w:tc>
        <w:tc>
          <w:tcPr>
            <w:tcW w:w="5740" w:type="dxa"/>
            <w:vAlign w:val="bottom"/>
            <w:shd w:val="clear" w:color="auto" w:fill="D0DBEF"/>
          </w:tcPr>
          <w:p>
            <w:pPr>
              <w:ind w:left="380"/>
              <w:spacing w:after="0"/>
              <w:rPr>
                <w:sz w:val="20"/>
                <w:szCs w:val="20"/>
                <w:color w:val="auto"/>
              </w:rPr>
            </w:pPr>
            <w:r>
              <w:rPr>
                <w:rFonts w:ascii="Arial" w:cs="Arial" w:eastAsia="Arial" w:hAnsi="Arial"/>
                <w:sz w:val="16"/>
                <w:szCs w:val="16"/>
                <w:color w:val="auto"/>
              </w:rPr>
              <w:t>compensation program</w:t>
            </w:r>
          </w:p>
        </w:tc>
        <w:tc>
          <w:tcPr>
            <w:tcW w:w="0" w:type="dxa"/>
            <w:vAlign w:val="bottom"/>
          </w:tcPr>
          <w:p>
            <w:pPr>
              <w:spacing w:after="0"/>
              <w:rPr>
                <w:sz w:val="1"/>
                <w:szCs w:val="1"/>
                <w:color w:val="auto"/>
              </w:rPr>
            </w:pPr>
          </w:p>
        </w:tc>
      </w:tr>
      <w:tr>
        <w:trPr>
          <w:trHeight w:val="193"/>
        </w:trPr>
        <w:tc>
          <w:tcPr>
            <w:tcW w:w="5680" w:type="dxa"/>
            <w:vAlign w:val="bottom"/>
            <w:gridSpan w:val="4"/>
            <w:shd w:val="clear" w:color="auto" w:fill="E6ECF8"/>
          </w:tcPr>
          <w:p>
            <w:pPr>
              <w:spacing w:after="0"/>
              <w:rPr>
                <w:sz w:val="20"/>
                <w:szCs w:val="20"/>
                <w:color w:val="auto"/>
              </w:rPr>
            </w:pPr>
            <w:r>
              <w:rPr>
                <w:rFonts w:ascii="Arial" w:cs="Arial" w:eastAsia="Arial" w:hAnsi="Arial"/>
                <w:sz w:val="16"/>
                <w:szCs w:val="16"/>
                <w:color w:val="auto"/>
              </w:rPr>
              <w:t>Prohibition against hedging and pledging of our securities by directors</w:t>
            </w:r>
          </w:p>
        </w:tc>
        <w:tc>
          <w:tcPr>
            <w:tcW w:w="5740" w:type="dxa"/>
            <w:vAlign w:val="bottom"/>
            <w:shd w:val="clear" w:color="auto" w:fill="E6ECF8"/>
          </w:tcPr>
          <w:p>
            <w:pPr>
              <w:ind w:left="380"/>
              <w:spacing w:after="0"/>
              <w:rPr>
                <w:sz w:val="20"/>
                <w:szCs w:val="20"/>
                <w:color w:val="auto"/>
              </w:rPr>
            </w:pPr>
            <w:r>
              <w:rPr>
                <w:rFonts w:ascii="Arial" w:cs="Arial" w:eastAsia="Arial" w:hAnsi="Arial"/>
                <w:sz w:val="16"/>
                <w:szCs w:val="16"/>
                <w:color w:val="auto"/>
              </w:rPr>
              <w:t>Prudent management of compensation-related risks</w:t>
            </w:r>
          </w:p>
        </w:tc>
        <w:tc>
          <w:tcPr>
            <w:tcW w:w="0" w:type="dxa"/>
            <w:vAlign w:val="bottom"/>
          </w:tcPr>
          <w:p>
            <w:pPr>
              <w:spacing w:after="0"/>
              <w:rPr>
                <w:sz w:val="1"/>
                <w:szCs w:val="1"/>
                <w:color w:val="auto"/>
              </w:rPr>
            </w:pPr>
          </w:p>
        </w:tc>
      </w:tr>
      <w:tr>
        <w:trPr>
          <w:trHeight w:val="187"/>
        </w:trPr>
        <w:tc>
          <w:tcPr>
            <w:tcW w:w="114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and employees</w:t>
            </w:r>
          </w:p>
        </w:tc>
        <w:tc>
          <w:tcPr>
            <w:tcW w:w="1820" w:type="dxa"/>
            <w:vAlign w:val="bottom"/>
            <w:tcBorders>
              <w:right w:val="single" w:sz="8" w:color="E6ECF8"/>
            </w:tcBorders>
            <w:shd w:val="clear" w:color="auto" w:fill="E6ECF8"/>
          </w:tcPr>
          <w:p>
            <w:pPr>
              <w:spacing w:after="0"/>
              <w:rPr>
                <w:sz w:val="16"/>
                <w:szCs w:val="16"/>
                <w:color w:val="auto"/>
              </w:rPr>
            </w:pPr>
          </w:p>
        </w:tc>
        <w:tc>
          <w:tcPr>
            <w:tcW w:w="2720" w:type="dxa"/>
            <w:vAlign w:val="bottom"/>
            <w:shd w:val="clear" w:color="auto" w:fill="E6ECF8"/>
          </w:tcPr>
          <w:p>
            <w:pPr>
              <w:spacing w:after="0"/>
              <w:rPr>
                <w:sz w:val="16"/>
                <w:szCs w:val="16"/>
                <w:color w:val="auto"/>
              </w:rPr>
            </w:pPr>
          </w:p>
        </w:tc>
        <w:tc>
          <w:tcPr>
            <w:tcW w:w="57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shd w:val="clear" w:color="auto" w:fill="183394"/>
          </w:tcPr>
          <w:p>
            <w:pPr>
              <w:ind w:left="460"/>
              <w:spacing w:after="0"/>
              <w:rPr>
                <w:sz w:val="20"/>
                <w:szCs w:val="20"/>
                <w:color w:val="auto"/>
              </w:rPr>
            </w:pPr>
            <w:r>
              <w:rPr>
                <w:rFonts w:ascii="Arial" w:cs="Arial" w:eastAsia="Arial" w:hAnsi="Arial"/>
                <w:sz w:val="16"/>
                <w:szCs w:val="16"/>
                <w:b w:val="1"/>
                <w:bCs w:val="1"/>
                <w:color w:val="FFFFFF"/>
              </w:rPr>
              <w:t>4</w:t>
            </w:r>
          </w:p>
        </w:tc>
        <w:tc>
          <w:tcPr>
            <w:tcW w:w="120" w:type="dxa"/>
            <w:vAlign w:val="bottom"/>
          </w:tcPr>
          <w:p>
            <w:pPr>
              <w:spacing w:after="0"/>
              <w:rPr>
                <w:sz w:val="21"/>
                <w:szCs w:val="21"/>
                <w:color w:val="auto"/>
              </w:rPr>
            </w:pPr>
          </w:p>
        </w:tc>
        <w:tc>
          <w:tcPr>
            <w:tcW w:w="1820" w:type="dxa"/>
            <w:vAlign w:val="bottom"/>
            <w:tcBorders>
              <w:right w:val="single" w:sz="8" w:color="183394"/>
            </w:tcBorders>
            <w:vMerge w:val="restart"/>
          </w:tcPr>
          <w:p>
            <w:pPr>
              <w:ind w:left="20"/>
              <w:spacing w:after="0"/>
              <w:rPr>
                <w:sz w:val="20"/>
                <w:szCs w:val="20"/>
                <w:color w:val="auto"/>
              </w:rPr>
            </w:pPr>
            <w:r>
              <w:rPr>
                <w:rFonts w:ascii="Arial" w:cs="Arial" w:eastAsia="Arial" w:hAnsi="Arial"/>
                <w:sz w:val="16"/>
                <w:szCs w:val="16"/>
                <w:color w:val="183394"/>
              </w:rPr>
              <w:t>Proxy Summary</w:t>
            </w:r>
          </w:p>
        </w:tc>
        <w:tc>
          <w:tcPr>
            <w:tcW w:w="27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020" w:type="dxa"/>
            <w:vAlign w:val="bottom"/>
            <w:shd w:val="clear" w:color="auto" w:fill="183394"/>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Borders>
              <w:right w:val="single" w:sz="8" w:color="183394"/>
            </w:tcBorders>
            <w:vMerge w:val="continue"/>
          </w:tcPr>
          <w:p>
            <w:pPr>
              <w:spacing w:after="0"/>
              <w:rPr>
                <w:sz w:val="5"/>
                <w:szCs w:val="5"/>
                <w:color w:val="auto"/>
              </w:rPr>
            </w:pPr>
          </w:p>
        </w:tc>
        <w:tc>
          <w:tcPr>
            <w:tcW w:w="27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255510" cy="139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139001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2015 Shareholder Outreach</w:t>
      </w:r>
    </w:p>
    <w:p>
      <w:pPr>
        <w:spacing w:after="0" w:line="254"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16"/>
          <w:szCs w:val="16"/>
          <w:color w:val="auto"/>
        </w:rPr>
        <w:t>We have instituted an ongoing shareholder outreach program through which we seek input from our institutional investors and other shareholders regarding our executive compensation and other governance practices, and implement appropriate changes based on this input. We value shareholder views and insights and believe that constructive and meaningful dialogue allows us to develop broader relationships with investors over the long-term and builds informed relationships that promote transparency and accountability. We continued our shareholder outreach efforts in 2015 and engaged in discussions with shareholders collectively representing approximately 47% of the shares of common stock outstanding as of December 31, 2015 (excluding shares held our directors and executive officers and Sanofi). Below is a summary of recent changes we have adopted based on shareholder feedback and other relevant considerations: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680" w:type="dxa"/>
            <w:vAlign w:val="bottom"/>
            <w:shd w:val="clear" w:color="auto" w:fill="5668B0"/>
          </w:tcPr>
          <w:p>
            <w:pPr>
              <w:ind w:left="1160"/>
              <w:spacing w:after="0"/>
              <w:rPr>
                <w:sz w:val="20"/>
                <w:szCs w:val="20"/>
                <w:color w:val="auto"/>
              </w:rPr>
            </w:pPr>
            <w:r>
              <w:rPr>
                <w:rFonts w:ascii="Arial" w:cs="Arial" w:eastAsia="Arial" w:hAnsi="Arial"/>
                <w:sz w:val="13"/>
                <w:szCs w:val="13"/>
                <w:b w:val="1"/>
                <w:bCs w:val="1"/>
                <w:color w:val="FFFFFE"/>
              </w:rPr>
              <w:t>What We Heard</w:t>
            </w:r>
          </w:p>
        </w:tc>
        <w:tc>
          <w:tcPr>
            <w:tcW w:w="4060" w:type="dxa"/>
            <w:vAlign w:val="bottom"/>
            <w:shd w:val="clear" w:color="auto" w:fill="5668B0"/>
          </w:tcPr>
          <w:p>
            <w:pPr>
              <w:ind w:left="1620"/>
              <w:spacing w:after="0"/>
              <w:rPr>
                <w:sz w:val="20"/>
                <w:szCs w:val="20"/>
                <w:color w:val="auto"/>
              </w:rPr>
            </w:pPr>
            <w:r>
              <w:rPr>
                <w:rFonts w:ascii="Arial" w:cs="Arial" w:eastAsia="Arial" w:hAnsi="Arial"/>
                <w:sz w:val="13"/>
                <w:szCs w:val="13"/>
                <w:b w:val="1"/>
                <w:bCs w:val="1"/>
                <w:color w:val="FFFFFE"/>
              </w:rPr>
              <w:t>What We Did</w:t>
            </w:r>
          </w:p>
        </w:tc>
        <w:tc>
          <w:tcPr>
            <w:tcW w:w="680" w:type="dxa"/>
            <w:vAlign w:val="bottom"/>
            <w:tcBorders>
              <w:right w:val="single" w:sz="8" w:color="5668B0"/>
            </w:tcBorders>
            <w:shd w:val="clear" w:color="auto" w:fill="5668B0"/>
          </w:tcPr>
          <w:p>
            <w:pPr>
              <w:spacing w:after="0"/>
              <w:rPr>
                <w:sz w:val="13"/>
                <w:szCs w:val="13"/>
                <w:color w:val="auto"/>
              </w:rPr>
            </w:pPr>
          </w:p>
        </w:tc>
        <w:tc>
          <w:tcPr>
            <w:tcW w:w="2400" w:type="dxa"/>
            <w:vAlign w:val="bottom"/>
            <w:gridSpan w:val="2"/>
            <w:shd w:val="clear" w:color="auto" w:fill="5668B0"/>
          </w:tcPr>
          <w:p>
            <w:pPr>
              <w:ind w:left="740"/>
              <w:spacing w:after="0"/>
              <w:rPr>
                <w:sz w:val="20"/>
                <w:szCs w:val="20"/>
                <w:color w:val="auto"/>
              </w:rPr>
            </w:pPr>
            <w:r>
              <w:rPr>
                <w:rFonts w:ascii="Arial" w:cs="Arial" w:eastAsia="Arial" w:hAnsi="Arial"/>
                <w:sz w:val="13"/>
                <w:szCs w:val="13"/>
                <w:b w:val="1"/>
                <w:bCs w:val="1"/>
                <w:color w:val="FFFFFE"/>
              </w:rPr>
              <w:t>When Implemented</w:t>
            </w:r>
          </w:p>
        </w:tc>
        <w:tc>
          <w:tcPr>
            <w:tcW w:w="600" w:type="dxa"/>
            <w:vAlign w:val="bottom"/>
            <w:shd w:val="clear" w:color="auto" w:fill="5668B0"/>
          </w:tcPr>
          <w:p>
            <w:pPr>
              <w:spacing w:after="0"/>
              <w:rPr>
                <w:sz w:val="13"/>
                <w:szCs w:val="13"/>
                <w:color w:val="auto"/>
              </w:rPr>
            </w:pPr>
          </w:p>
        </w:tc>
      </w:tr>
      <w:tr>
        <w:trPr>
          <w:trHeight w:val="193"/>
        </w:trPr>
        <w:tc>
          <w:tcPr>
            <w:tcW w:w="3680" w:type="dxa"/>
            <w:vAlign w:val="bottom"/>
            <w:shd w:val="clear" w:color="auto" w:fill="E6ECF8"/>
          </w:tcPr>
          <w:p>
            <w:pPr>
              <w:spacing w:after="0"/>
              <w:rPr>
                <w:sz w:val="20"/>
                <w:szCs w:val="20"/>
                <w:color w:val="auto"/>
              </w:rPr>
            </w:pPr>
            <w:r>
              <w:rPr>
                <w:rFonts w:ascii="Arial" w:cs="Arial" w:eastAsia="Arial" w:hAnsi="Arial"/>
                <w:sz w:val="16"/>
                <w:szCs w:val="16"/>
                <w:color w:val="auto"/>
              </w:rPr>
              <w:t>Concern about size of NEO equity awards</w:t>
            </w:r>
          </w:p>
        </w:tc>
        <w:tc>
          <w:tcPr>
            <w:tcW w:w="4060" w:type="dxa"/>
            <w:vAlign w:val="bottom"/>
            <w:shd w:val="clear" w:color="auto" w:fill="E6ECF8"/>
          </w:tcPr>
          <w:p>
            <w:pPr>
              <w:ind w:left="380"/>
              <w:spacing w:after="0"/>
              <w:rPr>
                <w:sz w:val="20"/>
                <w:szCs w:val="20"/>
                <w:color w:val="auto"/>
              </w:rPr>
            </w:pPr>
            <w:r>
              <w:rPr>
                <w:rFonts w:ascii="Arial" w:cs="Arial" w:eastAsia="Arial" w:hAnsi="Arial"/>
                <w:sz w:val="16"/>
                <w:szCs w:val="16"/>
                <w:color w:val="auto"/>
              </w:rPr>
              <w:t>Implemented another double-digit</w:t>
            </w:r>
          </w:p>
        </w:tc>
        <w:tc>
          <w:tcPr>
            <w:tcW w:w="3080" w:type="dxa"/>
            <w:vAlign w:val="bottom"/>
            <w:gridSpan w:val="3"/>
            <w:shd w:val="clear" w:color="auto" w:fill="E6ECF8"/>
          </w:tcPr>
          <w:p>
            <w:pPr>
              <w:ind w:left="380"/>
              <w:spacing w:after="0"/>
              <w:rPr>
                <w:sz w:val="20"/>
                <w:szCs w:val="20"/>
                <w:color w:val="auto"/>
              </w:rPr>
            </w:pPr>
            <w:r>
              <w:rPr>
                <w:rFonts w:ascii="Arial" w:cs="Arial" w:eastAsia="Arial" w:hAnsi="Arial"/>
                <w:sz w:val="16"/>
                <w:szCs w:val="16"/>
                <w:color w:val="auto"/>
              </w:rPr>
              <w:t>December 2015 (earlier reductions</w:t>
            </w:r>
          </w:p>
        </w:tc>
        <w:tc>
          <w:tcPr>
            <w:tcW w:w="600" w:type="dxa"/>
            <w:vAlign w:val="bottom"/>
            <w:shd w:val="clear" w:color="auto" w:fill="E6ECF8"/>
          </w:tcPr>
          <w:p>
            <w:pPr>
              <w:spacing w:after="0"/>
              <w:rPr>
                <w:sz w:val="16"/>
                <w:szCs w:val="16"/>
                <w:color w:val="auto"/>
              </w:rPr>
            </w:pPr>
          </w:p>
        </w:tc>
      </w:tr>
      <w:tr>
        <w:trPr>
          <w:trHeight w:val="190"/>
        </w:trPr>
        <w:tc>
          <w:tcPr>
            <w:tcW w:w="3680" w:type="dxa"/>
            <w:vAlign w:val="bottom"/>
            <w:shd w:val="clear" w:color="auto" w:fill="E6ECF8"/>
          </w:tcPr>
          <w:p>
            <w:pPr>
              <w:spacing w:after="0"/>
              <w:rPr>
                <w:sz w:val="16"/>
                <w:szCs w:val="16"/>
                <w:color w:val="auto"/>
              </w:rPr>
            </w:pPr>
          </w:p>
        </w:tc>
        <w:tc>
          <w:tcPr>
            <w:tcW w:w="4060" w:type="dxa"/>
            <w:vAlign w:val="bottom"/>
            <w:shd w:val="clear" w:color="auto" w:fill="E6ECF8"/>
          </w:tcPr>
          <w:p>
            <w:pPr>
              <w:ind w:left="380"/>
              <w:spacing w:after="0"/>
              <w:rPr>
                <w:sz w:val="20"/>
                <w:szCs w:val="20"/>
                <w:color w:val="auto"/>
              </w:rPr>
            </w:pPr>
            <w:r>
              <w:rPr>
                <w:rFonts w:ascii="Arial" w:cs="Arial" w:eastAsia="Arial" w:hAnsi="Arial"/>
                <w:sz w:val="16"/>
                <w:szCs w:val="16"/>
                <w:color w:val="auto"/>
              </w:rPr>
              <w:t>percentage decrease in the number of</w:t>
            </w:r>
          </w:p>
        </w:tc>
        <w:tc>
          <w:tcPr>
            <w:tcW w:w="3080" w:type="dxa"/>
            <w:vAlign w:val="bottom"/>
            <w:gridSpan w:val="3"/>
            <w:shd w:val="clear" w:color="auto" w:fill="E6ECF8"/>
          </w:tcPr>
          <w:p>
            <w:pPr>
              <w:ind w:left="380"/>
              <w:spacing w:after="0"/>
              <w:rPr>
                <w:sz w:val="20"/>
                <w:szCs w:val="20"/>
                <w:color w:val="auto"/>
              </w:rPr>
            </w:pPr>
            <w:r>
              <w:rPr>
                <w:rFonts w:ascii="Arial" w:cs="Arial" w:eastAsia="Arial" w:hAnsi="Arial"/>
                <w:sz w:val="16"/>
                <w:szCs w:val="16"/>
                <w:color w:val="auto"/>
              </w:rPr>
              <w:t>implemented in December 2013 and</w:t>
            </w:r>
          </w:p>
        </w:tc>
        <w:tc>
          <w:tcPr>
            <w:tcW w:w="600" w:type="dxa"/>
            <w:vAlign w:val="bottom"/>
            <w:shd w:val="clear" w:color="auto" w:fill="E6ECF8"/>
          </w:tcPr>
          <w:p>
            <w:pPr>
              <w:spacing w:after="0"/>
              <w:rPr>
                <w:sz w:val="16"/>
                <w:szCs w:val="16"/>
                <w:color w:val="auto"/>
              </w:rPr>
            </w:pPr>
          </w:p>
        </w:tc>
      </w:tr>
      <w:tr>
        <w:trPr>
          <w:trHeight w:val="190"/>
        </w:trPr>
        <w:tc>
          <w:tcPr>
            <w:tcW w:w="3680" w:type="dxa"/>
            <w:vAlign w:val="bottom"/>
            <w:shd w:val="clear" w:color="auto" w:fill="E6ECF8"/>
          </w:tcPr>
          <w:p>
            <w:pPr>
              <w:spacing w:after="0"/>
              <w:rPr>
                <w:sz w:val="16"/>
                <w:szCs w:val="16"/>
                <w:color w:val="auto"/>
              </w:rPr>
            </w:pPr>
          </w:p>
        </w:tc>
        <w:tc>
          <w:tcPr>
            <w:tcW w:w="4060" w:type="dxa"/>
            <w:vAlign w:val="bottom"/>
            <w:shd w:val="clear" w:color="auto" w:fill="E6ECF8"/>
          </w:tcPr>
          <w:p>
            <w:pPr>
              <w:ind w:left="380"/>
              <w:spacing w:after="0"/>
              <w:rPr>
                <w:sz w:val="20"/>
                <w:szCs w:val="20"/>
                <w:color w:val="auto"/>
              </w:rPr>
            </w:pPr>
            <w:r>
              <w:rPr>
                <w:rFonts w:ascii="Arial" w:cs="Arial" w:eastAsia="Arial" w:hAnsi="Arial"/>
                <w:sz w:val="16"/>
                <w:szCs w:val="16"/>
                <w:color w:val="auto"/>
              </w:rPr>
              <w:t>shares underlying the annual stock option</w:t>
            </w:r>
          </w:p>
        </w:tc>
        <w:tc>
          <w:tcPr>
            <w:tcW w:w="3080" w:type="dxa"/>
            <w:vAlign w:val="bottom"/>
            <w:gridSpan w:val="3"/>
            <w:shd w:val="clear" w:color="auto" w:fill="E6ECF8"/>
          </w:tcPr>
          <w:p>
            <w:pPr>
              <w:ind w:left="380"/>
              <w:spacing w:after="0"/>
              <w:rPr>
                <w:sz w:val="20"/>
                <w:szCs w:val="20"/>
                <w:color w:val="auto"/>
              </w:rPr>
            </w:pPr>
            <w:r>
              <w:rPr>
                <w:rFonts w:ascii="Arial" w:cs="Arial" w:eastAsia="Arial" w:hAnsi="Arial"/>
                <w:sz w:val="16"/>
                <w:szCs w:val="16"/>
                <w:color w:val="auto"/>
              </w:rPr>
              <w:t>December 2014)</w:t>
            </w:r>
          </w:p>
        </w:tc>
        <w:tc>
          <w:tcPr>
            <w:tcW w:w="600" w:type="dxa"/>
            <w:vAlign w:val="bottom"/>
            <w:shd w:val="clear" w:color="auto" w:fill="E6ECF8"/>
          </w:tcPr>
          <w:p>
            <w:pPr>
              <w:spacing w:after="0"/>
              <w:rPr>
                <w:sz w:val="16"/>
                <w:szCs w:val="16"/>
                <w:color w:val="auto"/>
              </w:rPr>
            </w:pPr>
          </w:p>
        </w:tc>
      </w:tr>
      <w:tr>
        <w:trPr>
          <w:trHeight w:val="190"/>
        </w:trPr>
        <w:tc>
          <w:tcPr>
            <w:tcW w:w="3680" w:type="dxa"/>
            <w:vAlign w:val="bottom"/>
            <w:shd w:val="clear" w:color="auto" w:fill="E6ECF8"/>
          </w:tcPr>
          <w:p>
            <w:pPr>
              <w:spacing w:after="0"/>
              <w:rPr>
                <w:sz w:val="16"/>
                <w:szCs w:val="16"/>
                <w:color w:val="auto"/>
              </w:rPr>
            </w:pPr>
          </w:p>
        </w:tc>
        <w:tc>
          <w:tcPr>
            <w:tcW w:w="4060" w:type="dxa"/>
            <w:vAlign w:val="bottom"/>
            <w:shd w:val="clear" w:color="auto" w:fill="E6ECF8"/>
          </w:tcPr>
          <w:p>
            <w:pPr>
              <w:ind w:left="380"/>
              <w:spacing w:after="0"/>
              <w:rPr>
                <w:sz w:val="20"/>
                <w:szCs w:val="20"/>
                <w:color w:val="auto"/>
              </w:rPr>
            </w:pPr>
            <w:r>
              <w:rPr>
                <w:rFonts w:ascii="Arial" w:cs="Arial" w:eastAsia="Arial" w:hAnsi="Arial"/>
                <w:sz w:val="16"/>
                <w:szCs w:val="16"/>
                <w:color w:val="auto"/>
              </w:rPr>
              <w:t>awards to our CEO, CSO, CFO, and EVP,</w:t>
            </w:r>
          </w:p>
        </w:tc>
        <w:tc>
          <w:tcPr>
            <w:tcW w:w="680" w:type="dxa"/>
            <w:vAlign w:val="bottom"/>
            <w:tcBorders>
              <w:right w:val="single" w:sz="8" w:color="E6ECF8"/>
            </w:tcBorders>
            <w:shd w:val="clear" w:color="auto" w:fill="E6ECF8"/>
          </w:tcPr>
          <w:p>
            <w:pPr>
              <w:spacing w:after="0"/>
              <w:rPr>
                <w:sz w:val="16"/>
                <w:szCs w:val="16"/>
                <w:color w:val="auto"/>
              </w:rPr>
            </w:pPr>
          </w:p>
        </w:tc>
        <w:tc>
          <w:tcPr>
            <w:tcW w:w="2000" w:type="dxa"/>
            <w:vAlign w:val="bottom"/>
            <w:shd w:val="clear" w:color="auto" w:fill="E6ECF8"/>
          </w:tcPr>
          <w:p>
            <w:pPr>
              <w:spacing w:after="0"/>
              <w:rPr>
                <w:sz w:val="16"/>
                <w:szCs w:val="16"/>
                <w:color w:val="auto"/>
              </w:rPr>
            </w:pPr>
          </w:p>
        </w:tc>
        <w:tc>
          <w:tcPr>
            <w:tcW w:w="400" w:type="dxa"/>
            <w:vAlign w:val="bottom"/>
            <w:shd w:val="clear" w:color="auto" w:fill="E6ECF8"/>
          </w:tcPr>
          <w:p>
            <w:pPr>
              <w:spacing w:after="0"/>
              <w:rPr>
                <w:sz w:val="16"/>
                <w:szCs w:val="16"/>
                <w:color w:val="auto"/>
              </w:rPr>
            </w:pPr>
          </w:p>
        </w:tc>
        <w:tc>
          <w:tcPr>
            <w:tcW w:w="600" w:type="dxa"/>
            <w:vAlign w:val="bottom"/>
            <w:shd w:val="clear" w:color="auto" w:fill="E6ECF8"/>
          </w:tcPr>
          <w:p>
            <w:pPr>
              <w:spacing w:after="0"/>
              <w:rPr>
                <w:sz w:val="16"/>
                <w:szCs w:val="16"/>
                <w:color w:val="auto"/>
              </w:rPr>
            </w:pPr>
          </w:p>
        </w:tc>
      </w:tr>
      <w:tr>
        <w:trPr>
          <w:trHeight w:val="187"/>
        </w:trPr>
        <w:tc>
          <w:tcPr>
            <w:tcW w:w="3680" w:type="dxa"/>
            <w:vAlign w:val="bottom"/>
            <w:shd w:val="clear" w:color="auto" w:fill="E6ECF8"/>
          </w:tcPr>
          <w:p>
            <w:pPr>
              <w:spacing w:after="0"/>
              <w:rPr>
                <w:sz w:val="16"/>
                <w:szCs w:val="16"/>
                <w:color w:val="auto"/>
              </w:rPr>
            </w:pPr>
          </w:p>
        </w:tc>
        <w:tc>
          <w:tcPr>
            <w:tcW w:w="4060" w:type="dxa"/>
            <w:vAlign w:val="bottom"/>
            <w:shd w:val="clear" w:color="auto" w:fill="E6ECF8"/>
          </w:tcPr>
          <w:p>
            <w:pPr>
              <w:ind w:left="380"/>
              <w:spacing w:after="0"/>
              <w:rPr>
                <w:sz w:val="20"/>
                <w:szCs w:val="20"/>
                <w:color w:val="auto"/>
              </w:rPr>
            </w:pPr>
            <w:r>
              <w:rPr>
                <w:rFonts w:ascii="Arial" w:cs="Arial" w:eastAsia="Arial" w:hAnsi="Arial"/>
                <w:sz w:val="16"/>
                <w:szCs w:val="16"/>
                <w:color w:val="auto"/>
              </w:rPr>
              <w:t>Research &amp; Development</w:t>
            </w:r>
          </w:p>
        </w:tc>
        <w:tc>
          <w:tcPr>
            <w:tcW w:w="680" w:type="dxa"/>
            <w:vAlign w:val="bottom"/>
            <w:tcBorders>
              <w:right w:val="single" w:sz="8" w:color="E6ECF8"/>
            </w:tcBorders>
            <w:shd w:val="clear" w:color="auto" w:fill="E6ECF8"/>
          </w:tcPr>
          <w:p>
            <w:pPr>
              <w:spacing w:after="0"/>
              <w:rPr>
                <w:sz w:val="16"/>
                <w:szCs w:val="16"/>
                <w:color w:val="auto"/>
              </w:rPr>
            </w:pPr>
          </w:p>
        </w:tc>
        <w:tc>
          <w:tcPr>
            <w:tcW w:w="2000" w:type="dxa"/>
            <w:vAlign w:val="bottom"/>
            <w:shd w:val="clear" w:color="auto" w:fill="E6ECF8"/>
          </w:tcPr>
          <w:p>
            <w:pPr>
              <w:spacing w:after="0"/>
              <w:rPr>
                <w:sz w:val="16"/>
                <w:szCs w:val="16"/>
                <w:color w:val="auto"/>
              </w:rPr>
            </w:pPr>
          </w:p>
        </w:tc>
        <w:tc>
          <w:tcPr>
            <w:tcW w:w="400" w:type="dxa"/>
            <w:vAlign w:val="bottom"/>
            <w:shd w:val="clear" w:color="auto" w:fill="E6ECF8"/>
          </w:tcPr>
          <w:p>
            <w:pPr>
              <w:spacing w:after="0"/>
              <w:rPr>
                <w:sz w:val="16"/>
                <w:szCs w:val="16"/>
                <w:color w:val="auto"/>
              </w:rPr>
            </w:pPr>
          </w:p>
        </w:tc>
        <w:tc>
          <w:tcPr>
            <w:tcW w:w="600" w:type="dxa"/>
            <w:vAlign w:val="bottom"/>
            <w:shd w:val="clear" w:color="auto" w:fill="E6ECF8"/>
          </w:tcPr>
          <w:p>
            <w:pPr>
              <w:spacing w:after="0"/>
              <w:rPr>
                <w:sz w:val="16"/>
                <w:szCs w:val="16"/>
                <w:color w:val="auto"/>
              </w:rPr>
            </w:pPr>
          </w:p>
        </w:tc>
      </w:tr>
      <w:tr>
        <w:trPr>
          <w:trHeight w:val="193"/>
        </w:trPr>
        <w:tc>
          <w:tcPr>
            <w:tcW w:w="3680" w:type="dxa"/>
            <w:vAlign w:val="bottom"/>
            <w:shd w:val="clear" w:color="auto" w:fill="D0DBEF"/>
          </w:tcPr>
          <w:p>
            <w:pPr>
              <w:spacing w:after="0"/>
              <w:rPr>
                <w:sz w:val="20"/>
                <w:szCs w:val="20"/>
                <w:color w:val="auto"/>
              </w:rPr>
            </w:pPr>
            <w:r>
              <w:rPr>
                <w:rFonts w:ascii="Arial" w:cs="Arial" w:eastAsia="Arial" w:hAnsi="Arial"/>
                <w:sz w:val="16"/>
                <w:szCs w:val="16"/>
                <w:color w:val="auto"/>
              </w:rPr>
              <w:t>Concern about burn rate</w:t>
            </w:r>
          </w:p>
        </w:tc>
        <w:tc>
          <w:tcPr>
            <w:tcW w:w="4060" w:type="dxa"/>
            <w:vAlign w:val="bottom"/>
            <w:shd w:val="clear" w:color="auto" w:fill="D0DBEF"/>
          </w:tcPr>
          <w:p>
            <w:pPr>
              <w:ind w:left="380"/>
              <w:spacing w:after="0"/>
              <w:rPr>
                <w:sz w:val="20"/>
                <w:szCs w:val="20"/>
                <w:color w:val="auto"/>
              </w:rPr>
            </w:pPr>
            <w:r>
              <w:rPr>
                <w:rFonts w:ascii="Arial" w:cs="Arial" w:eastAsia="Arial" w:hAnsi="Arial"/>
                <w:sz w:val="16"/>
                <w:szCs w:val="16"/>
                <w:color w:val="auto"/>
              </w:rPr>
              <w:t>Implemented across-the-board decrease in</w:t>
            </w:r>
          </w:p>
        </w:tc>
        <w:tc>
          <w:tcPr>
            <w:tcW w:w="3080" w:type="dxa"/>
            <w:vAlign w:val="bottom"/>
            <w:gridSpan w:val="3"/>
            <w:shd w:val="clear" w:color="auto" w:fill="D0DBEF"/>
          </w:tcPr>
          <w:p>
            <w:pPr>
              <w:ind w:left="380"/>
              <w:spacing w:after="0"/>
              <w:rPr>
                <w:sz w:val="20"/>
                <w:szCs w:val="20"/>
                <w:color w:val="auto"/>
              </w:rPr>
            </w:pPr>
            <w:r>
              <w:rPr>
                <w:rFonts w:ascii="Arial" w:cs="Arial" w:eastAsia="Arial" w:hAnsi="Arial"/>
                <w:sz w:val="16"/>
                <w:szCs w:val="16"/>
                <w:color w:val="auto"/>
              </w:rPr>
              <w:t>December 2015 (earlier reductions</w:t>
            </w:r>
          </w:p>
        </w:tc>
        <w:tc>
          <w:tcPr>
            <w:tcW w:w="600" w:type="dxa"/>
            <w:vAlign w:val="bottom"/>
            <w:shd w:val="clear" w:color="auto" w:fill="D0DBEF"/>
          </w:tcPr>
          <w:p>
            <w:pPr>
              <w:spacing w:after="0"/>
              <w:rPr>
                <w:sz w:val="16"/>
                <w:szCs w:val="16"/>
                <w:color w:val="auto"/>
              </w:rPr>
            </w:pPr>
          </w:p>
        </w:tc>
      </w:tr>
      <w:tr>
        <w:trPr>
          <w:trHeight w:val="190"/>
        </w:trPr>
        <w:tc>
          <w:tcPr>
            <w:tcW w:w="3680" w:type="dxa"/>
            <w:vAlign w:val="bottom"/>
            <w:shd w:val="clear" w:color="auto" w:fill="D0DBEF"/>
          </w:tcPr>
          <w:p>
            <w:pPr>
              <w:spacing w:after="0"/>
              <w:rPr>
                <w:sz w:val="16"/>
                <w:szCs w:val="16"/>
                <w:color w:val="auto"/>
              </w:rPr>
            </w:pPr>
          </w:p>
        </w:tc>
        <w:tc>
          <w:tcPr>
            <w:tcW w:w="4060" w:type="dxa"/>
            <w:vAlign w:val="bottom"/>
            <w:shd w:val="clear" w:color="auto" w:fill="D0DBEF"/>
          </w:tcPr>
          <w:p>
            <w:pPr>
              <w:ind w:left="380"/>
              <w:spacing w:after="0"/>
              <w:rPr>
                <w:sz w:val="20"/>
                <w:szCs w:val="20"/>
                <w:color w:val="auto"/>
              </w:rPr>
            </w:pPr>
            <w:r>
              <w:rPr>
                <w:rFonts w:ascii="Arial" w:cs="Arial" w:eastAsia="Arial" w:hAnsi="Arial"/>
                <w:sz w:val="16"/>
                <w:szCs w:val="16"/>
                <w:color w:val="auto"/>
              </w:rPr>
              <w:t>the number of shares underlying employee</w:t>
            </w:r>
          </w:p>
        </w:tc>
        <w:tc>
          <w:tcPr>
            <w:tcW w:w="3080" w:type="dxa"/>
            <w:vAlign w:val="bottom"/>
            <w:gridSpan w:val="3"/>
            <w:shd w:val="clear" w:color="auto" w:fill="D0DBEF"/>
          </w:tcPr>
          <w:p>
            <w:pPr>
              <w:ind w:left="380"/>
              <w:spacing w:after="0"/>
              <w:rPr>
                <w:sz w:val="20"/>
                <w:szCs w:val="20"/>
                <w:color w:val="auto"/>
              </w:rPr>
            </w:pPr>
            <w:r>
              <w:rPr>
                <w:rFonts w:ascii="Arial" w:cs="Arial" w:eastAsia="Arial" w:hAnsi="Arial"/>
                <w:sz w:val="16"/>
                <w:szCs w:val="16"/>
                <w:color w:val="auto"/>
              </w:rPr>
              <w:t>implemented in December 2013 and</w:t>
            </w:r>
          </w:p>
        </w:tc>
        <w:tc>
          <w:tcPr>
            <w:tcW w:w="600" w:type="dxa"/>
            <w:vAlign w:val="bottom"/>
            <w:shd w:val="clear" w:color="auto" w:fill="D0DBEF"/>
          </w:tcPr>
          <w:p>
            <w:pPr>
              <w:spacing w:after="0"/>
              <w:rPr>
                <w:sz w:val="16"/>
                <w:szCs w:val="16"/>
                <w:color w:val="auto"/>
              </w:rPr>
            </w:pPr>
          </w:p>
        </w:tc>
      </w:tr>
      <w:tr>
        <w:trPr>
          <w:trHeight w:val="190"/>
        </w:trPr>
        <w:tc>
          <w:tcPr>
            <w:tcW w:w="3680" w:type="dxa"/>
            <w:vAlign w:val="bottom"/>
            <w:shd w:val="clear" w:color="auto" w:fill="D0DBEF"/>
          </w:tcPr>
          <w:p>
            <w:pPr>
              <w:spacing w:after="0"/>
              <w:rPr>
                <w:sz w:val="16"/>
                <w:szCs w:val="16"/>
                <w:color w:val="auto"/>
              </w:rPr>
            </w:pPr>
          </w:p>
        </w:tc>
        <w:tc>
          <w:tcPr>
            <w:tcW w:w="4060" w:type="dxa"/>
            <w:vAlign w:val="bottom"/>
            <w:shd w:val="clear" w:color="auto" w:fill="D0DBEF"/>
          </w:tcPr>
          <w:p>
            <w:pPr>
              <w:ind w:left="380"/>
              <w:spacing w:after="0"/>
              <w:rPr>
                <w:sz w:val="20"/>
                <w:szCs w:val="20"/>
                <w:color w:val="auto"/>
              </w:rPr>
            </w:pPr>
            <w:r>
              <w:rPr>
                <w:rFonts w:ascii="Arial" w:cs="Arial" w:eastAsia="Arial" w:hAnsi="Arial"/>
                <w:sz w:val="16"/>
                <w:szCs w:val="16"/>
                <w:color w:val="auto"/>
              </w:rPr>
              <w:t>annual stock option awards; maintained a</w:t>
            </w:r>
          </w:p>
        </w:tc>
        <w:tc>
          <w:tcPr>
            <w:tcW w:w="3080" w:type="dxa"/>
            <w:vAlign w:val="bottom"/>
            <w:gridSpan w:val="3"/>
            <w:shd w:val="clear" w:color="auto" w:fill="D0DBEF"/>
          </w:tcPr>
          <w:p>
            <w:pPr>
              <w:ind w:left="380"/>
              <w:spacing w:after="0"/>
              <w:rPr>
                <w:sz w:val="20"/>
                <w:szCs w:val="20"/>
                <w:color w:val="auto"/>
              </w:rPr>
            </w:pPr>
            <w:r>
              <w:rPr>
                <w:rFonts w:ascii="Arial" w:cs="Arial" w:eastAsia="Arial" w:hAnsi="Arial"/>
                <w:sz w:val="16"/>
                <w:szCs w:val="16"/>
                <w:color w:val="auto"/>
              </w:rPr>
              <w:t>December 2014)</w:t>
            </w:r>
          </w:p>
        </w:tc>
        <w:tc>
          <w:tcPr>
            <w:tcW w:w="600" w:type="dxa"/>
            <w:vAlign w:val="bottom"/>
            <w:shd w:val="clear" w:color="auto" w:fill="D0DBEF"/>
          </w:tcPr>
          <w:p>
            <w:pPr>
              <w:spacing w:after="0"/>
              <w:rPr>
                <w:sz w:val="16"/>
                <w:szCs w:val="16"/>
                <w:color w:val="auto"/>
              </w:rPr>
            </w:pPr>
          </w:p>
        </w:tc>
      </w:tr>
      <w:tr>
        <w:trPr>
          <w:trHeight w:val="190"/>
        </w:trPr>
        <w:tc>
          <w:tcPr>
            <w:tcW w:w="3680" w:type="dxa"/>
            <w:vAlign w:val="bottom"/>
            <w:shd w:val="clear" w:color="auto" w:fill="D0DBEF"/>
          </w:tcPr>
          <w:p>
            <w:pPr>
              <w:spacing w:after="0"/>
              <w:rPr>
                <w:sz w:val="16"/>
                <w:szCs w:val="16"/>
                <w:color w:val="auto"/>
              </w:rPr>
            </w:pPr>
          </w:p>
        </w:tc>
        <w:tc>
          <w:tcPr>
            <w:tcW w:w="4060" w:type="dxa"/>
            <w:vAlign w:val="bottom"/>
            <w:shd w:val="clear" w:color="auto" w:fill="D0DBEF"/>
          </w:tcPr>
          <w:p>
            <w:pPr>
              <w:ind w:left="380"/>
              <w:spacing w:after="0"/>
              <w:rPr>
                <w:sz w:val="20"/>
                <w:szCs w:val="20"/>
                <w:color w:val="auto"/>
              </w:rPr>
            </w:pPr>
            <w:r>
              <w:rPr>
                <w:rFonts w:ascii="Arial" w:cs="Arial" w:eastAsia="Arial" w:hAnsi="Arial"/>
                <w:sz w:val="16"/>
                <w:szCs w:val="16"/>
                <w:color w:val="auto"/>
              </w:rPr>
              <w:t>three-year burn rate average of 4.1% despite</w:t>
            </w:r>
          </w:p>
        </w:tc>
        <w:tc>
          <w:tcPr>
            <w:tcW w:w="680" w:type="dxa"/>
            <w:vAlign w:val="bottom"/>
            <w:tcBorders>
              <w:right w:val="single" w:sz="8" w:color="D0DBEF"/>
            </w:tcBorders>
            <w:shd w:val="clear" w:color="auto" w:fill="D0DBEF"/>
          </w:tcPr>
          <w:p>
            <w:pPr>
              <w:spacing w:after="0"/>
              <w:rPr>
                <w:sz w:val="16"/>
                <w:szCs w:val="16"/>
                <w:color w:val="auto"/>
              </w:rPr>
            </w:pPr>
          </w:p>
        </w:tc>
        <w:tc>
          <w:tcPr>
            <w:tcW w:w="2000" w:type="dxa"/>
            <w:vAlign w:val="bottom"/>
            <w:shd w:val="clear" w:color="auto" w:fill="D0DBEF"/>
          </w:tcPr>
          <w:p>
            <w:pPr>
              <w:spacing w:after="0"/>
              <w:rPr>
                <w:sz w:val="16"/>
                <w:szCs w:val="16"/>
                <w:color w:val="auto"/>
              </w:rPr>
            </w:pPr>
          </w:p>
        </w:tc>
        <w:tc>
          <w:tcPr>
            <w:tcW w:w="400" w:type="dxa"/>
            <w:vAlign w:val="bottom"/>
            <w:shd w:val="clear" w:color="auto" w:fill="D0DBEF"/>
          </w:tcPr>
          <w:p>
            <w:pPr>
              <w:spacing w:after="0"/>
              <w:rPr>
                <w:sz w:val="16"/>
                <w:szCs w:val="16"/>
                <w:color w:val="auto"/>
              </w:rPr>
            </w:pPr>
          </w:p>
        </w:tc>
        <w:tc>
          <w:tcPr>
            <w:tcW w:w="600" w:type="dxa"/>
            <w:vAlign w:val="bottom"/>
            <w:shd w:val="clear" w:color="auto" w:fill="D0DBEF"/>
          </w:tcPr>
          <w:p>
            <w:pPr>
              <w:spacing w:after="0"/>
              <w:rPr>
                <w:sz w:val="16"/>
                <w:szCs w:val="16"/>
                <w:color w:val="auto"/>
              </w:rPr>
            </w:pPr>
          </w:p>
        </w:tc>
      </w:tr>
      <w:tr>
        <w:trPr>
          <w:trHeight w:val="190"/>
        </w:trPr>
        <w:tc>
          <w:tcPr>
            <w:tcW w:w="3680" w:type="dxa"/>
            <w:vAlign w:val="bottom"/>
            <w:shd w:val="clear" w:color="auto" w:fill="D0DBEF"/>
          </w:tcPr>
          <w:p>
            <w:pPr>
              <w:spacing w:after="0"/>
              <w:rPr>
                <w:sz w:val="16"/>
                <w:szCs w:val="16"/>
                <w:color w:val="auto"/>
              </w:rPr>
            </w:pPr>
          </w:p>
        </w:tc>
        <w:tc>
          <w:tcPr>
            <w:tcW w:w="4060" w:type="dxa"/>
            <w:vAlign w:val="bottom"/>
            <w:shd w:val="clear" w:color="auto" w:fill="D0DBEF"/>
          </w:tcPr>
          <w:p>
            <w:pPr>
              <w:ind w:left="380"/>
              <w:spacing w:after="0"/>
              <w:rPr>
                <w:sz w:val="20"/>
                <w:szCs w:val="20"/>
                <w:color w:val="auto"/>
              </w:rPr>
            </w:pPr>
            <w:r>
              <w:rPr>
                <w:rFonts w:ascii="Arial" w:cs="Arial" w:eastAsia="Arial" w:hAnsi="Arial"/>
                <w:sz w:val="16"/>
                <w:szCs w:val="16"/>
                <w:color w:val="auto"/>
              </w:rPr>
              <w:t>a 121% increase in the number of employees</w:t>
            </w:r>
          </w:p>
        </w:tc>
        <w:tc>
          <w:tcPr>
            <w:tcW w:w="680" w:type="dxa"/>
            <w:vAlign w:val="bottom"/>
            <w:tcBorders>
              <w:right w:val="single" w:sz="8" w:color="D0DBEF"/>
            </w:tcBorders>
            <w:shd w:val="clear" w:color="auto" w:fill="D0DBEF"/>
          </w:tcPr>
          <w:p>
            <w:pPr>
              <w:spacing w:after="0"/>
              <w:rPr>
                <w:sz w:val="16"/>
                <w:szCs w:val="16"/>
                <w:color w:val="auto"/>
              </w:rPr>
            </w:pPr>
          </w:p>
        </w:tc>
        <w:tc>
          <w:tcPr>
            <w:tcW w:w="2000" w:type="dxa"/>
            <w:vAlign w:val="bottom"/>
            <w:shd w:val="clear" w:color="auto" w:fill="D0DBEF"/>
          </w:tcPr>
          <w:p>
            <w:pPr>
              <w:spacing w:after="0"/>
              <w:rPr>
                <w:sz w:val="16"/>
                <w:szCs w:val="16"/>
                <w:color w:val="auto"/>
              </w:rPr>
            </w:pPr>
          </w:p>
        </w:tc>
        <w:tc>
          <w:tcPr>
            <w:tcW w:w="400" w:type="dxa"/>
            <w:vAlign w:val="bottom"/>
            <w:shd w:val="clear" w:color="auto" w:fill="D0DBEF"/>
          </w:tcPr>
          <w:p>
            <w:pPr>
              <w:spacing w:after="0"/>
              <w:rPr>
                <w:sz w:val="16"/>
                <w:szCs w:val="16"/>
                <w:color w:val="auto"/>
              </w:rPr>
            </w:pPr>
          </w:p>
        </w:tc>
        <w:tc>
          <w:tcPr>
            <w:tcW w:w="600" w:type="dxa"/>
            <w:vAlign w:val="bottom"/>
            <w:shd w:val="clear" w:color="auto" w:fill="D0DBEF"/>
          </w:tcPr>
          <w:p>
            <w:pPr>
              <w:spacing w:after="0"/>
              <w:rPr>
                <w:sz w:val="16"/>
                <w:szCs w:val="16"/>
                <w:color w:val="auto"/>
              </w:rPr>
            </w:pPr>
          </w:p>
        </w:tc>
      </w:tr>
      <w:tr>
        <w:trPr>
          <w:trHeight w:val="187"/>
        </w:trPr>
        <w:tc>
          <w:tcPr>
            <w:tcW w:w="3680" w:type="dxa"/>
            <w:vAlign w:val="bottom"/>
            <w:shd w:val="clear" w:color="auto" w:fill="D0DBEF"/>
          </w:tcPr>
          <w:p>
            <w:pPr>
              <w:spacing w:after="0"/>
              <w:rPr>
                <w:sz w:val="16"/>
                <w:szCs w:val="16"/>
                <w:color w:val="auto"/>
              </w:rPr>
            </w:pPr>
          </w:p>
        </w:tc>
        <w:tc>
          <w:tcPr>
            <w:tcW w:w="4060" w:type="dxa"/>
            <w:vAlign w:val="bottom"/>
            <w:shd w:val="clear" w:color="auto" w:fill="D0DBEF"/>
          </w:tcPr>
          <w:p>
            <w:pPr>
              <w:ind w:left="380"/>
              <w:spacing w:after="0"/>
              <w:rPr>
                <w:sz w:val="20"/>
                <w:szCs w:val="20"/>
                <w:color w:val="auto"/>
              </w:rPr>
            </w:pPr>
            <w:r>
              <w:rPr>
                <w:rFonts w:ascii="Arial" w:cs="Arial" w:eastAsia="Arial" w:hAnsi="Arial"/>
                <w:sz w:val="16"/>
                <w:szCs w:val="16"/>
                <w:color w:val="auto"/>
              </w:rPr>
              <w:t>over the same period</w:t>
            </w:r>
          </w:p>
        </w:tc>
        <w:tc>
          <w:tcPr>
            <w:tcW w:w="680" w:type="dxa"/>
            <w:vAlign w:val="bottom"/>
            <w:tcBorders>
              <w:right w:val="single" w:sz="8" w:color="D0DBEF"/>
            </w:tcBorders>
            <w:shd w:val="clear" w:color="auto" w:fill="D0DBEF"/>
          </w:tcPr>
          <w:p>
            <w:pPr>
              <w:spacing w:after="0"/>
              <w:rPr>
                <w:sz w:val="16"/>
                <w:szCs w:val="16"/>
                <w:color w:val="auto"/>
              </w:rPr>
            </w:pPr>
          </w:p>
        </w:tc>
        <w:tc>
          <w:tcPr>
            <w:tcW w:w="2000" w:type="dxa"/>
            <w:vAlign w:val="bottom"/>
            <w:shd w:val="clear" w:color="auto" w:fill="D0DBEF"/>
          </w:tcPr>
          <w:p>
            <w:pPr>
              <w:spacing w:after="0"/>
              <w:rPr>
                <w:sz w:val="16"/>
                <w:szCs w:val="16"/>
                <w:color w:val="auto"/>
              </w:rPr>
            </w:pPr>
          </w:p>
        </w:tc>
        <w:tc>
          <w:tcPr>
            <w:tcW w:w="400" w:type="dxa"/>
            <w:vAlign w:val="bottom"/>
            <w:shd w:val="clear" w:color="auto" w:fill="D0DBEF"/>
          </w:tcPr>
          <w:p>
            <w:pPr>
              <w:spacing w:after="0"/>
              <w:rPr>
                <w:sz w:val="16"/>
                <w:szCs w:val="16"/>
                <w:color w:val="auto"/>
              </w:rPr>
            </w:pPr>
          </w:p>
        </w:tc>
        <w:tc>
          <w:tcPr>
            <w:tcW w:w="600" w:type="dxa"/>
            <w:vAlign w:val="bottom"/>
            <w:shd w:val="clear" w:color="auto" w:fill="D0DBEF"/>
          </w:tcPr>
          <w:p>
            <w:pPr>
              <w:spacing w:after="0"/>
              <w:rPr>
                <w:sz w:val="16"/>
                <w:szCs w:val="16"/>
                <w:color w:val="auto"/>
              </w:rPr>
            </w:pPr>
          </w:p>
        </w:tc>
      </w:tr>
      <w:tr>
        <w:trPr>
          <w:trHeight w:val="193"/>
        </w:trPr>
        <w:tc>
          <w:tcPr>
            <w:tcW w:w="3680" w:type="dxa"/>
            <w:vAlign w:val="bottom"/>
            <w:shd w:val="clear" w:color="auto" w:fill="E6ECF8"/>
          </w:tcPr>
          <w:p>
            <w:pPr>
              <w:spacing w:after="0"/>
              <w:rPr>
                <w:sz w:val="20"/>
                <w:szCs w:val="20"/>
                <w:color w:val="auto"/>
              </w:rPr>
            </w:pPr>
            <w:r>
              <w:rPr>
                <w:rFonts w:ascii="Arial" w:cs="Arial" w:eastAsia="Arial" w:hAnsi="Arial"/>
                <w:sz w:val="16"/>
                <w:szCs w:val="16"/>
                <w:color w:val="auto"/>
              </w:rPr>
              <w:t>Continue to implement corporate governance</w:t>
            </w:r>
          </w:p>
        </w:tc>
        <w:tc>
          <w:tcPr>
            <w:tcW w:w="4060" w:type="dxa"/>
            <w:vAlign w:val="bottom"/>
            <w:shd w:val="clear" w:color="auto" w:fill="E6ECF8"/>
          </w:tcPr>
          <w:p>
            <w:pPr>
              <w:ind w:left="380"/>
              <w:spacing w:after="0"/>
              <w:rPr>
                <w:sz w:val="20"/>
                <w:szCs w:val="20"/>
                <w:color w:val="auto"/>
              </w:rPr>
            </w:pPr>
            <w:r>
              <w:rPr>
                <w:rFonts w:ascii="Arial" w:cs="Arial" w:eastAsia="Arial" w:hAnsi="Arial"/>
                <w:sz w:val="16"/>
                <w:szCs w:val="16"/>
                <w:color w:val="auto"/>
              </w:rPr>
              <w:t>Adopted majority voting standard in the</w:t>
            </w:r>
          </w:p>
        </w:tc>
        <w:tc>
          <w:tcPr>
            <w:tcW w:w="3080" w:type="dxa"/>
            <w:vAlign w:val="bottom"/>
            <w:gridSpan w:val="3"/>
            <w:shd w:val="clear" w:color="auto" w:fill="E6ECF8"/>
          </w:tcPr>
          <w:p>
            <w:pPr>
              <w:ind w:left="380"/>
              <w:spacing w:after="0"/>
              <w:rPr>
                <w:sz w:val="20"/>
                <w:szCs w:val="20"/>
                <w:color w:val="auto"/>
              </w:rPr>
            </w:pPr>
            <w:r>
              <w:rPr>
                <w:rFonts w:ascii="Arial" w:cs="Arial" w:eastAsia="Arial" w:hAnsi="Arial"/>
                <w:sz w:val="16"/>
                <w:szCs w:val="16"/>
                <w:color w:val="auto"/>
              </w:rPr>
              <w:t>January 2016</w:t>
            </w:r>
          </w:p>
        </w:tc>
        <w:tc>
          <w:tcPr>
            <w:tcW w:w="600" w:type="dxa"/>
            <w:vAlign w:val="bottom"/>
            <w:shd w:val="clear" w:color="auto" w:fill="E6ECF8"/>
          </w:tcPr>
          <w:p>
            <w:pPr>
              <w:spacing w:after="0"/>
              <w:rPr>
                <w:sz w:val="16"/>
                <w:szCs w:val="16"/>
                <w:color w:val="auto"/>
              </w:rPr>
            </w:pPr>
          </w:p>
        </w:tc>
      </w:tr>
      <w:tr>
        <w:trPr>
          <w:trHeight w:val="187"/>
        </w:trPr>
        <w:tc>
          <w:tcPr>
            <w:tcW w:w="3680" w:type="dxa"/>
            <w:vAlign w:val="bottom"/>
            <w:shd w:val="clear" w:color="auto" w:fill="E6ECF8"/>
          </w:tcPr>
          <w:p>
            <w:pPr>
              <w:spacing w:after="0"/>
              <w:rPr>
                <w:sz w:val="20"/>
                <w:szCs w:val="20"/>
                <w:color w:val="auto"/>
              </w:rPr>
            </w:pPr>
            <w:r>
              <w:rPr>
                <w:rFonts w:ascii="Arial" w:cs="Arial" w:eastAsia="Arial" w:hAnsi="Arial"/>
                <w:sz w:val="16"/>
                <w:szCs w:val="16"/>
                <w:color w:val="auto"/>
              </w:rPr>
              <w:t>best practices</w:t>
            </w:r>
          </w:p>
        </w:tc>
        <w:tc>
          <w:tcPr>
            <w:tcW w:w="4060" w:type="dxa"/>
            <w:vAlign w:val="bottom"/>
            <w:shd w:val="clear" w:color="auto" w:fill="E6ECF8"/>
          </w:tcPr>
          <w:p>
            <w:pPr>
              <w:ind w:left="380"/>
              <w:spacing w:after="0"/>
              <w:rPr>
                <w:sz w:val="20"/>
                <w:szCs w:val="20"/>
                <w:color w:val="auto"/>
              </w:rPr>
            </w:pPr>
            <w:r>
              <w:rPr>
                <w:rFonts w:ascii="Arial" w:cs="Arial" w:eastAsia="Arial" w:hAnsi="Arial"/>
                <w:sz w:val="16"/>
                <w:szCs w:val="16"/>
                <w:color w:val="auto"/>
              </w:rPr>
              <w:t>election of directors</w:t>
            </w:r>
          </w:p>
        </w:tc>
        <w:tc>
          <w:tcPr>
            <w:tcW w:w="680" w:type="dxa"/>
            <w:vAlign w:val="bottom"/>
            <w:tcBorders>
              <w:right w:val="single" w:sz="8" w:color="E6ECF8"/>
            </w:tcBorders>
            <w:shd w:val="clear" w:color="auto" w:fill="E6ECF8"/>
          </w:tcPr>
          <w:p>
            <w:pPr>
              <w:spacing w:after="0"/>
              <w:rPr>
                <w:sz w:val="16"/>
                <w:szCs w:val="16"/>
                <w:color w:val="auto"/>
              </w:rPr>
            </w:pPr>
          </w:p>
        </w:tc>
        <w:tc>
          <w:tcPr>
            <w:tcW w:w="2000" w:type="dxa"/>
            <w:vAlign w:val="bottom"/>
            <w:shd w:val="clear" w:color="auto" w:fill="E6ECF8"/>
          </w:tcPr>
          <w:p>
            <w:pPr>
              <w:spacing w:after="0"/>
              <w:rPr>
                <w:sz w:val="16"/>
                <w:szCs w:val="16"/>
                <w:color w:val="auto"/>
              </w:rPr>
            </w:pPr>
          </w:p>
        </w:tc>
        <w:tc>
          <w:tcPr>
            <w:tcW w:w="400" w:type="dxa"/>
            <w:vAlign w:val="bottom"/>
            <w:shd w:val="clear" w:color="auto" w:fill="E6ECF8"/>
          </w:tcPr>
          <w:p>
            <w:pPr>
              <w:spacing w:after="0"/>
              <w:rPr>
                <w:sz w:val="16"/>
                <w:szCs w:val="16"/>
                <w:color w:val="auto"/>
              </w:rPr>
            </w:pPr>
          </w:p>
        </w:tc>
        <w:tc>
          <w:tcPr>
            <w:tcW w:w="600" w:type="dxa"/>
            <w:vAlign w:val="bottom"/>
            <w:shd w:val="clear" w:color="auto" w:fill="E6ECF8"/>
          </w:tcPr>
          <w:p>
            <w:pPr>
              <w:spacing w:after="0"/>
              <w:rPr>
                <w:sz w:val="16"/>
                <w:szCs w:val="16"/>
                <w:color w:val="auto"/>
              </w:rPr>
            </w:pPr>
          </w:p>
        </w:tc>
      </w:tr>
      <w:tr>
        <w:trPr>
          <w:trHeight w:val="202"/>
        </w:trPr>
        <w:tc>
          <w:tcPr>
            <w:tcW w:w="36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04"/>
        </w:trPr>
        <w:tc>
          <w:tcPr>
            <w:tcW w:w="3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80" w:type="dxa"/>
            <w:vAlign w:val="bottom"/>
            <w:tcBorders>
              <w:right w:val="single" w:sz="8" w:color="183394"/>
            </w:tcBorders>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6"/>
                <w:szCs w:val="16"/>
                <w:color w:val="183394"/>
              </w:rPr>
              <w:t>Proxy Summary</w:t>
            </w:r>
          </w:p>
        </w:tc>
        <w:tc>
          <w:tcPr>
            <w:tcW w:w="400" w:type="dxa"/>
            <w:vAlign w:val="bottom"/>
            <w:shd w:val="clear" w:color="auto" w:fill="183394"/>
          </w:tcPr>
          <w:p>
            <w:pPr>
              <w:spacing w:after="0"/>
              <w:rPr>
                <w:sz w:val="24"/>
                <w:szCs w:val="24"/>
                <w:color w:val="auto"/>
              </w:rPr>
            </w:pPr>
          </w:p>
        </w:tc>
        <w:tc>
          <w:tcPr>
            <w:tcW w:w="6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5</w:t>
            </w:r>
          </w:p>
        </w:tc>
      </w:tr>
      <w:tr>
        <w:trPr>
          <w:trHeight w:val="110"/>
        </w:trPr>
        <w:tc>
          <w:tcPr>
            <w:tcW w:w="3680" w:type="dxa"/>
            <w:vAlign w:val="bottom"/>
            <w:tcBorders>
              <w:bottom w:val="single" w:sz="8" w:color="808080"/>
            </w:tcBorders>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10591-6707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130175</wp:posOffset>
            </wp:positionV>
            <wp:extent cx="18237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3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472440</wp:posOffset>
            </wp:positionV>
            <wp:extent cx="7255510" cy="345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34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General Information about the Meeting</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and when will the 2016 Annual Meeting be held?</w:t>
      </w:r>
    </w:p>
    <w:p>
      <w:pPr>
        <w:spacing w:after="0" w:line="22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2016 Annual Meeting of Shareholders of Regeneron Pharmaceuticals, Inc. ("Regeneron," "Company," "we," "us," and "our") is scheduled for June 10, 2016, commencing at 10:30 a.m., Eastern Time, at the Westchester Marriott Hotel, 670 White Plains Road, Tarrytown, New York 10591. If you are planning to attend the meeting, directions to</w:t>
      </w:r>
    </w:p>
    <w:p>
      <w:pPr>
        <w:spacing w:after="0" w:line="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this location are available on our website at </w:t>
      </w:r>
      <w:r>
        <w:rPr>
          <w:rFonts w:ascii="Arial" w:cs="Arial" w:eastAsia="Arial" w:hAnsi="Arial"/>
          <w:sz w:val="16"/>
          <w:szCs w:val="16"/>
          <w:i w:val="1"/>
          <w:iCs w:val="1"/>
          <w:color w:val="auto"/>
        </w:rPr>
        <w:t>http://newsroom.regeneron.com</w:t>
      </w:r>
      <w:r>
        <w:rPr>
          <w:rFonts w:ascii="Arial" w:cs="Arial" w:eastAsia="Arial" w:hAnsi="Arial"/>
          <w:sz w:val="16"/>
          <w:szCs w:val="16"/>
          <w:color w:val="auto"/>
        </w:rPr>
        <w:t>.</w:t>
      </w:r>
    </w:p>
    <w:p>
      <w:pPr>
        <w:spacing w:after="0" w:line="15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b w:val="1"/>
          <w:bCs w:val="1"/>
          <w:color w:val="auto"/>
        </w:rPr>
        <w:t>Why did you receive a notice in the mail regarding the Internet availability of proxy materials instead of a paper copy of the proxy materials?</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"Notice and Access" rules of the United States Securities and Exchange Commission (the "SEC") permit us to furnish proxy materials, including this proxy statement and our Annual Report on Form 10-K for the fiscal year ended December 31, 2015 filed with the SEC on February 11, 2016 (the "2015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The Notice will be mailed beginning on or about April 27, 2016. The Notice includes instructions on how you may access and review all of our proxy materials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17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Why didn't you receive a notice in the mail about the Internet availability of the proxy materials?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Shareholders who previously elected to access the proxy materials over the Internet will not receive a notice in the mail about the Internet availability of the proxy materials. Instead,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200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252095</wp:posOffset>
            </wp:positionV>
            <wp:extent cx="8255" cy="1930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these shareholders should have received an e-mail with links to the proxy materials and the proxy voting website. In addition, shareholders who have previously asked to receive paper copies of the proxy materials and shareholders who participate and hold shares of common stock in the Regeneron Pharmaceuticals, Inc. 401(k) Savings Plan will receive paper copies of the proxy materials.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you vote your shares by filling out and returning the Notice?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we send you the Notice?</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sent you the Notice regarding this proxy statement because Regeneron's board of directors is asking (technically called soliciting) holders of the Company's common stock, par value $0.001 per share ("common stock"), and Class A stock, par value $0.001 per share ("Class A stock"), to provide proxies to be voted at our 2016 Annual Meeting of Shareholders or at any adjournment(s) or postponement(s) of the meeting.</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Only shareholders of record at the close of business on the record date, April 14, 2016, are entitled to vote at the Annual Meeting shares of common stock and/or Class A stock held of record on that date. As of April 14, 2016, 103,165,457 shares of common stock and 1,913,136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575"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06" w:lineRule="exact"/>
        <w:rPr>
          <w:sz w:val="20"/>
          <w:szCs w:val="20"/>
          <w:color w:val="auto"/>
        </w:rPr>
      </w:pPr>
    </w:p>
    <w:p>
      <w:pPr>
        <w:ind w:left="1160" w:hanging="698"/>
        <w:spacing w:after="0"/>
        <w:tabs>
          <w:tab w:leader="none" w:pos="1160" w:val="left"/>
        </w:tabs>
        <w:numPr>
          <w:ilvl w:val="0"/>
          <w:numId w:val="1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you being asked to vote 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We are asking you to vote on:</w:t>
      </w:r>
    </w:p>
    <w:p>
      <w:pPr>
        <w:spacing w:after="0" w:line="208" w:lineRule="exact"/>
        <w:rPr>
          <w:sz w:val="20"/>
          <w:szCs w:val="20"/>
          <w:color w:val="auto"/>
        </w:rPr>
      </w:pPr>
    </w:p>
    <w:p>
      <w:pPr>
        <w:ind w:left="500" w:right="20" w:hanging="499"/>
        <w:spacing w:after="0" w:line="264" w:lineRule="auto"/>
        <w:tabs>
          <w:tab w:leader="none" w:pos="500" w:val="left"/>
        </w:tabs>
        <w:numPr>
          <w:ilvl w:val="0"/>
          <w:numId w:val="14"/>
        </w:numPr>
        <w:rPr>
          <w:rFonts w:ascii="Arial" w:cs="Arial" w:eastAsia="Arial" w:hAnsi="Arial"/>
          <w:sz w:val="16"/>
          <w:szCs w:val="16"/>
          <w:color w:val="5668B0"/>
        </w:rPr>
      </w:pPr>
      <w:r>
        <w:rPr>
          <w:rFonts w:ascii="Arial" w:cs="Arial" w:eastAsia="Arial" w:hAnsi="Arial"/>
          <w:sz w:val="16"/>
          <w:szCs w:val="16"/>
          <w:color w:val="auto"/>
        </w:rPr>
        <w:t>election of three Class I directors for a term of three years (Proposal No. 1); and</w:t>
      </w:r>
    </w:p>
    <w:p>
      <w:pPr>
        <w:spacing w:after="0" w:line="177" w:lineRule="exact"/>
        <w:rPr>
          <w:rFonts w:ascii="Arial" w:cs="Arial" w:eastAsia="Arial" w:hAnsi="Arial"/>
          <w:sz w:val="16"/>
          <w:szCs w:val="16"/>
          <w:color w:val="5668B0"/>
        </w:rPr>
      </w:pPr>
    </w:p>
    <w:p>
      <w:pPr>
        <w:jc w:val="both"/>
        <w:ind w:left="500" w:right="20" w:hanging="499"/>
        <w:spacing w:after="0" w:line="255" w:lineRule="auto"/>
        <w:tabs>
          <w:tab w:leader="none" w:pos="500" w:val="left"/>
        </w:tabs>
        <w:numPr>
          <w:ilvl w:val="0"/>
          <w:numId w:val="14"/>
        </w:numPr>
        <w:rPr>
          <w:rFonts w:ascii="Arial" w:cs="Arial" w:eastAsia="Arial" w:hAnsi="Arial"/>
          <w:sz w:val="16"/>
          <w:szCs w:val="16"/>
          <w:color w:val="5668B0"/>
        </w:rPr>
      </w:pPr>
      <w:r>
        <w:rPr>
          <w:rFonts w:ascii="Arial" w:cs="Arial" w:eastAsia="Arial" w:hAnsi="Arial"/>
          <w:sz w:val="16"/>
          <w:szCs w:val="16"/>
          <w:color w:val="auto"/>
        </w:rPr>
        <w:t>ratification of the appointment of PricewaterhouseCoopers LLP as the Company's independent registered public accounting firm for the fiscal year ending December 31, 2016 (Proposal No. 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board's recommendations?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that you vote:</w:t>
      </w:r>
    </w:p>
    <w:p>
      <w:pPr>
        <w:spacing w:after="0" w:line="188" w:lineRule="exact"/>
        <w:rPr>
          <w:sz w:val="20"/>
          <w:szCs w:val="20"/>
          <w:color w:val="auto"/>
        </w:rPr>
      </w:pPr>
    </w:p>
    <w:p>
      <w:pPr>
        <w:ind w:left="500" w:right="20" w:hanging="499"/>
        <w:spacing w:after="0" w:line="290" w:lineRule="auto"/>
        <w:tabs>
          <w:tab w:leader="none" w:pos="500" w:val="left"/>
        </w:tabs>
        <w:numPr>
          <w:ilvl w:val="0"/>
          <w:numId w:val="15"/>
        </w:numPr>
        <w:rPr>
          <w:rFonts w:ascii="Arial" w:cs="Arial" w:eastAsia="Arial" w:hAnsi="Arial"/>
          <w:sz w:val="16"/>
          <w:szCs w:val="16"/>
          <w:color w:val="5668B0"/>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election of each of the three nominated Class I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No. 1); and</w:t>
      </w:r>
    </w:p>
    <w:p>
      <w:pPr>
        <w:spacing w:after="0" w:line="124" w:lineRule="exact"/>
        <w:rPr>
          <w:rFonts w:ascii="Arial" w:cs="Arial" w:eastAsia="Arial" w:hAnsi="Arial"/>
          <w:sz w:val="16"/>
          <w:szCs w:val="16"/>
          <w:color w:val="5668B0"/>
        </w:rPr>
      </w:pPr>
    </w:p>
    <w:p>
      <w:pPr>
        <w:jc w:val="both"/>
        <w:ind w:left="500" w:right="20" w:hanging="499"/>
        <w:spacing w:after="0" w:line="269" w:lineRule="auto"/>
        <w:tabs>
          <w:tab w:leader="none" w:pos="500" w:val="left"/>
        </w:tabs>
        <w:numPr>
          <w:ilvl w:val="0"/>
          <w:numId w:val="15"/>
        </w:numPr>
        <w:rPr>
          <w:rFonts w:ascii="Arial" w:cs="Arial" w:eastAsia="Arial" w:hAnsi="Arial"/>
          <w:sz w:val="16"/>
          <w:szCs w:val="16"/>
          <w:color w:val="5668B0"/>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ratification of the appointment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PricewaterhouseCoopers LLP as the Company's independent registered public accounting firm for 2016 (Proposal No. 2).</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you vote?</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i w:val="1"/>
          <w:iCs w:val="1"/>
          <w:color w:val="auto"/>
        </w:rPr>
        <w:t xml:space="preserve">In person. </w:t>
      </w:r>
      <w:r>
        <w:rPr>
          <w:rFonts w:ascii="Arial" w:cs="Arial" w:eastAsia="Arial" w:hAnsi="Arial"/>
          <w:sz w:val="16"/>
          <w:szCs w:val="16"/>
          <w:color w:val="auto"/>
        </w:rPr>
        <w:t>If you are a shareholder of record, you may vote in person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Annual Meeting. The Company will give you a ballot when you arrive. If you 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So long as you meet the applicable requirements, you can always change your vote at the meeting. Instructions on voting by proxy are included below.</w:t>
      </w:r>
    </w:p>
    <w:p>
      <w:pPr>
        <w:spacing w:after="0" w:line="36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Via the Internet. </w:t>
      </w:r>
      <w:r>
        <w:rPr>
          <w:rFonts w:ascii="Arial" w:cs="Arial" w:eastAsia="Arial" w:hAnsi="Arial"/>
          <w:sz w:val="16"/>
          <w:szCs w:val="16"/>
          <w:color w:val="auto"/>
        </w:rPr>
        <w:t>You may vote by proxy via the Internet by visiting</w:t>
      </w:r>
      <w:r>
        <w:rPr>
          <w:rFonts w:ascii="Arial" w:cs="Arial" w:eastAsia="Arial" w:hAnsi="Arial"/>
          <w:sz w:val="16"/>
          <w:szCs w:val="16"/>
          <w:i w:val="1"/>
          <w:iCs w:val="1"/>
          <w:color w:val="auto"/>
        </w:rPr>
        <w:t xml:space="preserve"> www.proxyvote.com</w:t>
      </w:r>
      <w:r>
        <w:rPr>
          <w:rFonts w:ascii="Arial" w:cs="Arial" w:eastAsia="Arial" w:hAnsi="Arial"/>
          <w:sz w:val="16"/>
          <w:szCs w:val="16"/>
          <w:color w:val="auto"/>
        </w:rPr>
        <w:t>. You will need the 12 digit control number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Notice or, if you received a paper copy of the proxy materials, the proxy card or voting instruction form you received. You may vote via the Internet through 11:59 p.m., Eastern Time, on June 9,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Via telephone. </w:t>
      </w:r>
      <w:r>
        <w:rPr>
          <w:rFonts w:ascii="Arial" w:cs="Arial" w:eastAsia="Arial" w:hAnsi="Arial"/>
          <w:sz w:val="16"/>
          <w:szCs w:val="16"/>
          <w:color w:val="auto"/>
        </w:rPr>
        <w:t>If you received printed copies of the proxy materials, you</w:t>
      </w:r>
      <w:r>
        <w:rPr>
          <w:rFonts w:ascii="Arial" w:cs="Arial" w:eastAsia="Arial" w:hAnsi="Arial"/>
          <w:sz w:val="16"/>
          <w:szCs w:val="16"/>
          <w:i w:val="1"/>
          <w:iCs w:val="1"/>
          <w:color w:val="auto"/>
        </w:rPr>
        <w:t xml:space="preserve"> </w:t>
      </w:r>
      <w:r>
        <w:rPr>
          <w:rFonts w:ascii="Arial" w:cs="Arial" w:eastAsia="Arial" w:hAnsi="Arial"/>
          <w:sz w:val="16"/>
          <w:szCs w:val="16"/>
          <w:color w:val="auto"/>
        </w:rPr>
        <w:t>may vote by proxy via telephone by calling the toll free number found on the proxy card or the voting instruction form. You will need the 12 digit control number included on the proxy card or voting instruction form. You may vote via telephone through 11:59 p.m., Eastern Time, on June 9, 2016.</w:t>
      </w:r>
    </w:p>
    <w:p>
      <w:pPr>
        <w:spacing w:after="0" w:line="3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If you received printed copies of the proxy materials, you may</w:t>
      </w:r>
      <w:r>
        <w:rPr>
          <w:rFonts w:ascii="Arial" w:cs="Arial" w:eastAsia="Arial" w:hAnsi="Arial"/>
          <w:sz w:val="16"/>
          <w:szCs w:val="16"/>
          <w:i w:val="1"/>
          <w:iCs w:val="1"/>
          <w:color w:val="auto"/>
        </w:rPr>
        <w:t xml:space="preserve"> </w:t>
      </w:r>
      <w:r>
        <w:rPr>
          <w:rFonts w:ascii="Arial" w:cs="Arial" w:eastAsia="Arial" w:hAnsi="Arial"/>
          <w:sz w:val="16"/>
          <w:szCs w:val="16"/>
          <w:color w:val="auto"/>
        </w:rPr>
        <w:t>vote by proxy by completing the proxy card or voting instruction form and returning it in the envelope provided.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proxies voted?</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are you being asked to vote on?", to be presented at the Annual Meeting. If any other matter properly comes before the Annual Meeting, the persons named and designated as proxies will vote your shares in their discretion.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constitutes a quorum?</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380" w:type="dxa"/>
        <w:tblCellMar>
          <w:top w:w="0" w:type="dxa"/>
          <w:left w:w="0" w:type="dxa"/>
          <w:bottom w:w="0" w:type="dxa"/>
          <w:right w:w="0" w:type="dxa"/>
        </w:tblCellMar>
      </w:tblPr>
      <w:tr>
        <w:trPr>
          <w:trHeight w:val="250"/>
        </w:trPr>
        <w:tc>
          <w:tcPr>
            <w:tcW w:w="2980" w:type="dxa"/>
            <w:vAlign w:val="bottom"/>
            <w:vMerge w:val="restart"/>
          </w:tcPr>
          <w:p>
            <w:pPr>
              <w:spacing w:after="0"/>
              <w:rPr>
                <w:sz w:val="20"/>
                <w:szCs w:val="20"/>
                <w:color w:val="auto"/>
              </w:rPr>
            </w:pPr>
            <w:r>
              <w:rPr>
                <w:rFonts w:ascii="Arial" w:cs="Arial" w:eastAsia="Arial" w:hAnsi="Arial"/>
                <w:sz w:val="16"/>
                <w:szCs w:val="16"/>
                <w:color w:val="183394"/>
              </w:rPr>
              <w:t>General Information about the Meeting</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7</w:t>
            </w:r>
          </w:p>
        </w:tc>
        <w:tc>
          <w:tcPr>
            <w:tcW w:w="0" w:type="dxa"/>
            <w:vAlign w:val="bottom"/>
          </w:tcPr>
          <w:p>
            <w:pPr>
              <w:spacing w:after="0"/>
              <w:rPr>
                <w:sz w:val="1"/>
                <w:szCs w:val="1"/>
                <w:color w:val="auto"/>
              </w:rPr>
            </w:pPr>
          </w:p>
        </w:tc>
      </w:tr>
      <w:tr>
        <w:trPr>
          <w:trHeight w:val="66"/>
        </w:trPr>
        <w:tc>
          <w:tcPr>
            <w:tcW w:w="298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-192405</wp:posOffset>
            </wp:positionV>
            <wp:extent cx="8255" cy="1930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vote is required to approve each proposal?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voting requirements applicable to the proposals to be voted on at the Annual Meeting: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shd w:val="clear" w:color="auto" w:fill="5668B0"/>
          </w:tcPr>
          <w:p>
            <w:pPr>
              <w:spacing w:after="0"/>
              <w:rPr>
                <w:sz w:val="13"/>
                <w:szCs w:val="13"/>
                <w:color w:val="auto"/>
              </w:rPr>
            </w:pPr>
          </w:p>
        </w:tc>
        <w:tc>
          <w:tcPr>
            <w:tcW w:w="3080" w:type="dxa"/>
            <w:vAlign w:val="bottom"/>
            <w:shd w:val="clear" w:color="auto" w:fill="5668B0"/>
          </w:tcPr>
          <w:p>
            <w:pPr>
              <w:spacing w:after="0"/>
              <w:rPr>
                <w:sz w:val="13"/>
                <w:szCs w:val="13"/>
                <w:color w:val="auto"/>
              </w:rPr>
            </w:pPr>
          </w:p>
        </w:tc>
        <w:tc>
          <w:tcPr>
            <w:tcW w:w="3060" w:type="dxa"/>
            <w:vAlign w:val="bottom"/>
            <w:shd w:val="clear" w:color="auto" w:fill="5668B0"/>
          </w:tcPr>
          <w:p>
            <w:pPr>
              <w:ind w:left="400"/>
              <w:spacing w:after="0"/>
              <w:rPr>
                <w:sz w:val="20"/>
                <w:szCs w:val="20"/>
                <w:color w:val="auto"/>
              </w:rPr>
            </w:pPr>
            <w:r>
              <w:rPr>
                <w:rFonts w:ascii="Arial" w:cs="Arial" w:eastAsia="Arial" w:hAnsi="Arial"/>
                <w:sz w:val="13"/>
                <w:szCs w:val="13"/>
                <w:color w:val="FFFFFE"/>
              </w:rPr>
              <w:t>Effect of</w:t>
            </w:r>
          </w:p>
        </w:tc>
        <w:tc>
          <w:tcPr>
            <w:tcW w:w="2660" w:type="dxa"/>
            <w:vAlign w:val="bottom"/>
            <w:shd w:val="clear" w:color="auto" w:fill="5668B0"/>
          </w:tcPr>
          <w:p>
            <w:pPr>
              <w:ind w:left="380"/>
              <w:spacing w:after="0"/>
              <w:rPr>
                <w:sz w:val="20"/>
                <w:szCs w:val="20"/>
                <w:color w:val="auto"/>
              </w:rPr>
            </w:pPr>
            <w:r>
              <w:rPr>
                <w:rFonts w:ascii="Arial" w:cs="Arial" w:eastAsia="Arial" w:hAnsi="Arial"/>
                <w:sz w:val="13"/>
                <w:szCs w:val="13"/>
                <w:color w:val="FFFFFE"/>
              </w:rPr>
              <w:t>Broker Discretionary</w:t>
            </w:r>
          </w:p>
        </w:tc>
      </w:tr>
      <w:tr>
        <w:trPr>
          <w:trHeight w:val="180"/>
        </w:trPr>
        <w:tc>
          <w:tcPr>
            <w:tcW w:w="2620" w:type="dxa"/>
            <w:vAlign w:val="bottom"/>
            <w:shd w:val="clear" w:color="auto" w:fill="5668B0"/>
          </w:tcPr>
          <w:p>
            <w:pPr>
              <w:spacing w:after="0"/>
              <w:rPr>
                <w:sz w:val="20"/>
                <w:szCs w:val="20"/>
                <w:color w:val="auto"/>
              </w:rPr>
            </w:pPr>
            <w:r>
              <w:rPr>
                <w:rFonts w:ascii="Arial" w:cs="Arial" w:eastAsia="Arial" w:hAnsi="Arial"/>
                <w:sz w:val="13"/>
                <w:szCs w:val="13"/>
                <w:color w:val="FFFFFE"/>
              </w:rPr>
              <w:t>Proposal</w:t>
            </w:r>
          </w:p>
        </w:tc>
        <w:tc>
          <w:tcPr>
            <w:tcW w:w="3080" w:type="dxa"/>
            <w:vAlign w:val="bottom"/>
            <w:shd w:val="clear" w:color="auto" w:fill="5668B0"/>
          </w:tcPr>
          <w:p>
            <w:pPr>
              <w:ind w:left="440"/>
              <w:spacing w:after="0"/>
              <w:rPr>
                <w:sz w:val="20"/>
                <w:szCs w:val="20"/>
                <w:color w:val="auto"/>
              </w:rPr>
            </w:pPr>
            <w:r>
              <w:rPr>
                <w:rFonts w:ascii="Arial" w:cs="Arial" w:eastAsia="Arial" w:hAnsi="Arial"/>
                <w:sz w:val="13"/>
                <w:szCs w:val="13"/>
                <w:color w:val="FFFFFE"/>
              </w:rPr>
              <w:t>Vote Required</w:t>
            </w:r>
          </w:p>
        </w:tc>
        <w:tc>
          <w:tcPr>
            <w:tcW w:w="3060" w:type="dxa"/>
            <w:vAlign w:val="bottom"/>
            <w:shd w:val="clear" w:color="auto" w:fill="5668B0"/>
          </w:tcPr>
          <w:p>
            <w:pPr>
              <w:ind w:left="400"/>
              <w:spacing w:after="0" w:line="181" w:lineRule="exact"/>
              <w:rPr>
                <w:sz w:val="20"/>
                <w:szCs w:val="20"/>
                <w:color w:val="auto"/>
              </w:rPr>
            </w:pPr>
            <w:r>
              <w:rPr>
                <w:rFonts w:ascii="Arial" w:cs="Arial" w:eastAsia="Arial" w:hAnsi="Arial"/>
                <w:sz w:val="13"/>
                <w:szCs w:val="13"/>
                <w:color w:val="FFFFFE"/>
              </w:rPr>
              <w:t>Abstentions</w:t>
            </w:r>
            <w:r>
              <w:rPr>
                <w:rFonts w:ascii="Arial" w:cs="Arial" w:eastAsia="Arial" w:hAnsi="Arial"/>
                <w:sz w:val="20"/>
                <w:szCs w:val="20"/>
                <w:color w:val="FFFFFE"/>
                <w:vertAlign w:val="superscript"/>
              </w:rPr>
              <w:t>*</w:t>
            </w:r>
          </w:p>
        </w:tc>
        <w:tc>
          <w:tcPr>
            <w:tcW w:w="2660" w:type="dxa"/>
            <w:vAlign w:val="bottom"/>
            <w:shd w:val="clear" w:color="auto" w:fill="5668B0"/>
          </w:tcPr>
          <w:p>
            <w:pPr>
              <w:ind w:left="380"/>
              <w:spacing w:after="0" w:line="181" w:lineRule="exact"/>
              <w:rPr>
                <w:sz w:val="20"/>
                <w:szCs w:val="20"/>
                <w:color w:val="auto"/>
              </w:rPr>
            </w:pPr>
            <w:r>
              <w:rPr>
                <w:rFonts w:ascii="Arial" w:cs="Arial" w:eastAsia="Arial" w:hAnsi="Arial"/>
                <w:sz w:val="13"/>
                <w:szCs w:val="13"/>
                <w:color w:val="FFFFFE"/>
              </w:rPr>
              <w:t>Voting Allowed?</w:t>
            </w:r>
            <w:r>
              <w:rPr>
                <w:rFonts w:ascii="Arial" w:cs="Arial" w:eastAsia="Arial" w:hAnsi="Arial"/>
                <w:sz w:val="20"/>
                <w:szCs w:val="20"/>
                <w:color w:val="FFFFFE"/>
                <w:vertAlign w:val="superscript"/>
              </w:rPr>
              <w:t>+</w:t>
            </w:r>
          </w:p>
        </w:tc>
      </w:tr>
      <w:tr>
        <w:trPr>
          <w:trHeight w:val="156"/>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Proposal No. 1: Election of Directors</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Majority of the votes cast. In</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No effect — not considered votes cast</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accordance with our director</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on this proposal</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resignation policy, an incumbent</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this proposal</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director who fails to receive the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required number of votes in an</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uncontested election will be required</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to tender his or her resignation to the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Chairman of the board of directors for</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consideration by the Corporate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Governance and Compliance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47"/>
        </w:trPr>
        <w:tc>
          <w:tcPr>
            <w:tcW w:w="2620" w:type="dxa"/>
            <w:vAlign w:val="bottom"/>
            <w:shd w:val="clear" w:color="auto" w:fill="E6ECF8"/>
          </w:tcPr>
          <w:p>
            <w:pPr>
              <w:spacing w:after="0"/>
              <w:rPr>
                <w:sz w:val="12"/>
                <w:szCs w:val="12"/>
                <w:color w:val="auto"/>
              </w:rPr>
            </w:pPr>
          </w:p>
        </w:tc>
        <w:tc>
          <w:tcPr>
            <w:tcW w:w="3080" w:type="dxa"/>
            <w:vAlign w:val="bottom"/>
            <w:shd w:val="clear" w:color="auto" w:fill="E6ECF8"/>
          </w:tcPr>
          <w:p>
            <w:pPr>
              <w:ind w:left="440"/>
              <w:spacing w:after="0" w:line="148" w:lineRule="exact"/>
              <w:rPr>
                <w:sz w:val="20"/>
                <w:szCs w:val="20"/>
                <w:color w:val="auto"/>
              </w:rPr>
            </w:pPr>
            <w:r>
              <w:rPr>
                <w:rFonts w:ascii="Arial" w:cs="Arial" w:eastAsia="Arial" w:hAnsi="Arial"/>
                <w:sz w:val="13"/>
                <w:szCs w:val="13"/>
                <w:color w:val="auto"/>
              </w:rPr>
              <w:t>Committee.</w:t>
            </w:r>
          </w:p>
        </w:tc>
        <w:tc>
          <w:tcPr>
            <w:tcW w:w="3060" w:type="dxa"/>
            <w:vAlign w:val="bottom"/>
            <w:shd w:val="clear" w:color="auto" w:fill="E6ECF8"/>
          </w:tcPr>
          <w:p>
            <w:pPr>
              <w:spacing w:after="0"/>
              <w:rPr>
                <w:sz w:val="12"/>
                <w:szCs w:val="12"/>
                <w:color w:val="auto"/>
              </w:rPr>
            </w:pPr>
          </w:p>
        </w:tc>
        <w:tc>
          <w:tcPr>
            <w:tcW w:w="2660" w:type="dxa"/>
            <w:vAlign w:val="bottom"/>
            <w:shd w:val="clear" w:color="auto" w:fill="E6ECF8"/>
          </w:tcPr>
          <w:p>
            <w:pPr>
              <w:spacing w:after="0"/>
              <w:rPr>
                <w:sz w:val="12"/>
                <w:szCs w:val="12"/>
                <w:color w:val="auto"/>
              </w:rPr>
            </w:pPr>
          </w:p>
        </w:tc>
      </w:tr>
      <w:tr>
        <w:trPr>
          <w:trHeight w:val="384"/>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Proposal No. 2: Ratification of the</w:t>
            </w:r>
          </w:p>
        </w:tc>
        <w:tc>
          <w:tcPr>
            <w:tcW w:w="3080" w:type="dxa"/>
            <w:vAlign w:val="bottom"/>
            <w:shd w:val="clear" w:color="auto" w:fill="D0DBEF"/>
          </w:tcPr>
          <w:p>
            <w:pPr>
              <w:ind w:left="440"/>
              <w:spacing w:after="0"/>
              <w:rPr>
                <w:sz w:val="20"/>
                <w:szCs w:val="20"/>
                <w:color w:val="auto"/>
              </w:rPr>
            </w:pPr>
            <w:r>
              <w:rPr>
                <w:rFonts w:ascii="Arial" w:cs="Arial" w:eastAsia="Arial" w:hAnsi="Arial"/>
                <w:sz w:val="13"/>
                <w:szCs w:val="13"/>
                <w:color w:val="auto"/>
              </w:rPr>
              <w:t>Majority of the votes cast</w:t>
            </w:r>
          </w:p>
        </w:tc>
        <w:tc>
          <w:tcPr>
            <w:tcW w:w="3060" w:type="dxa"/>
            <w:vAlign w:val="bottom"/>
            <w:shd w:val="clear" w:color="auto" w:fill="D0DBEF"/>
          </w:tcPr>
          <w:p>
            <w:pPr>
              <w:ind w:left="400"/>
              <w:spacing w:after="0"/>
              <w:rPr>
                <w:sz w:val="20"/>
                <w:szCs w:val="20"/>
                <w:color w:val="auto"/>
              </w:rPr>
            </w:pPr>
            <w:r>
              <w:rPr>
                <w:rFonts w:ascii="Arial" w:cs="Arial" w:eastAsia="Arial" w:hAnsi="Arial"/>
                <w:sz w:val="13"/>
                <w:szCs w:val="13"/>
                <w:color w:val="auto"/>
              </w:rPr>
              <w:t>No effect — not considered votes cast</w:t>
            </w: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Yes — brokers without voting</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Appointment of</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ind w:left="400"/>
              <w:spacing w:after="0"/>
              <w:rPr>
                <w:sz w:val="20"/>
                <w:szCs w:val="20"/>
                <w:color w:val="auto"/>
              </w:rPr>
            </w:pPr>
            <w:r>
              <w:rPr>
                <w:rFonts w:ascii="Arial" w:cs="Arial" w:eastAsia="Arial" w:hAnsi="Arial"/>
                <w:sz w:val="13"/>
                <w:szCs w:val="13"/>
                <w:color w:val="auto"/>
              </w:rPr>
              <w:t>on this proposal</w:t>
            </w: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instructions will have discretionary</w:t>
            </w:r>
          </w:p>
        </w:tc>
      </w:tr>
      <w:tr>
        <w:trPr>
          <w:trHeight w:val="147"/>
        </w:trPr>
        <w:tc>
          <w:tcPr>
            <w:tcW w:w="2620" w:type="dxa"/>
            <w:vAlign w:val="bottom"/>
            <w:tcBorders>
              <w:bottom w:val="single" w:sz="8" w:color="5668B0"/>
            </w:tcBorders>
            <w:shd w:val="clear" w:color="auto" w:fill="D0DBEF"/>
          </w:tcPr>
          <w:p>
            <w:pPr>
              <w:spacing w:after="0" w:line="148" w:lineRule="exact"/>
              <w:rPr>
                <w:sz w:val="20"/>
                <w:szCs w:val="20"/>
                <w:color w:val="auto"/>
              </w:rPr>
            </w:pPr>
            <w:r>
              <w:rPr>
                <w:rFonts w:ascii="Arial" w:cs="Arial" w:eastAsia="Arial" w:hAnsi="Arial"/>
                <w:sz w:val="13"/>
                <w:szCs w:val="13"/>
                <w:color w:val="auto"/>
              </w:rPr>
              <w:t>PricewaterhouseCoopers LLP</w:t>
            </w:r>
          </w:p>
        </w:tc>
        <w:tc>
          <w:tcPr>
            <w:tcW w:w="3080" w:type="dxa"/>
            <w:vAlign w:val="bottom"/>
            <w:tcBorders>
              <w:bottom w:val="single" w:sz="8" w:color="5668B0"/>
            </w:tcBorders>
            <w:shd w:val="clear" w:color="auto" w:fill="D0DBEF"/>
          </w:tcPr>
          <w:p>
            <w:pPr>
              <w:spacing w:after="0"/>
              <w:rPr>
                <w:sz w:val="12"/>
                <w:szCs w:val="12"/>
                <w:color w:val="auto"/>
              </w:rPr>
            </w:pPr>
          </w:p>
        </w:tc>
        <w:tc>
          <w:tcPr>
            <w:tcW w:w="3060" w:type="dxa"/>
            <w:vAlign w:val="bottom"/>
            <w:tcBorders>
              <w:bottom w:val="single" w:sz="8" w:color="5668B0"/>
            </w:tcBorders>
            <w:shd w:val="clear" w:color="auto" w:fill="D0DBEF"/>
          </w:tcPr>
          <w:p>
            <w:pPr>
              <w:spacing w:after="0"/>
              <w:rPr>
                <w:sz w:val="12"/>
                <w:szCs w:val="12"/>
                <w:color w:val="auto"/>
              </w:rPr>
            </w:pPr>
          </w:p>
        </w:tc>
        <w:tc>
          <w:tcPr>
            <w:tcW w:w="2660" w:type="dxa"/>
            <w:vAlign w:val="bottom"/>
            <w:tcBorders>
              <w:bottom w:val="single" w:sz="8" w:color="5668B0"/>
            </w:tcBorders>
            <w:shd w:val="clear" w:color="auto" w:fill="D0DBEF"/>
          </w:tcPr>
          <w:p>
            <w:pPr>
              <w:ind w:left="380"/>
              <w:spacing w:after="0" w:line="148" w:lineRule="exact"/>
              <w:rPr>
                <w:sz w:val="20"/>
                <w:szCs w:val="20"/>
                <w:color w:val="auto"/>
              </w:rPr>
            </w:pPr>
            <w:r>
              <w:rPr>
                <w:rFonts w:ascii="Arial" w:cs="Arial" w:eastAsia="Arial" w:hAnsi="Arial"/>
                <w:sz w:val="13"/>
                <w:szCs w:val="13"/>
                <w:color w:val="auto"/>
              </w:rPr>
              <w:t>voting authority to vote</w:t>
            </w:r>
          </w:p>
        </w:tc>
      </w:tr>
    </w:tbl>
    <w:p>
      <w:pPr>
        <w:spacing w:after="0" w:line="207" w:lineRule="exact"/>
        <w:rPr>
          <w:sz w:val="20"/>
          <w:szCs w:val="20"/>
          <w:color w:val="auto"/>
        </w:rPr>
      </w:pPr>
    </w:p>
    <w:p>
      <w:pPr>
        <w:ind w:left="500" w:hanging="499"/>
        <w:spacing w:after="0"/>
        <w:tabs>
          <w:tab w:leader="none" w:pos="500" w:val="left"/>
        </w:tabs>
        <w:numPr>
          <w:ilvl w:val="0"/>
          <w:numId w:val="16"/>
        </w:numPr>
        <w:rPr>
          <w:rFonts w:ascii="Arial" w:cs="Arial" w:eastAsia="Arial" w:hAnsi="Arial"/>
          <w:sz w:val="13"/>
          <w:szCs w:val="13"/>
          <w:b w:val="1"/>
          <w:bCs w:val="1"/>
          <w:color w:val="5668B0"/>
        </w:rPr>
      </w:pPr>
      <w:r>
        <w:rPr>
          <w:rFonts w:ascii="Arial" w:cs="Arial" w:eastAsia="Arial" w:hAnsi="Arial"/>
          <w:sz w:val="13"/>
          <w:szCs w:val="13"/>
          <w:color w:val="auto"/>
        </w:rPr>
        <w:t>As noted above, abstentions will be counted as present for purposes of establishing a quorum at the Annual Meeting.</w:t>
      </w:r>
    </w:p>
    <w:p>
      <w:pPr>
        <w:spacing w:after="0" w:line="205" w:lineRule="exact"/>
        <w:rPr>
          <w:sz w:val="20"/>
          <w:szCs w:val="20"/>
          <w:color w:val="auto"/>
        </w:rPr>
      </w:pPr>
    </w:p>
    <w:p>
      <w:pPr>
        <w:ind w:left="500" w:hanging="499"/>
        <w:spacing w:after="0" w:line="263" w:lineRule="auto"/>
        <w:tabs>
          <w:tab w:leader="none" w:pos="500" w:val="left"/>
        </w:tabs>
        <w:numPr>
          <w:ilvl w:val="0"/>
          <w:numId w:val="17"/>
        </w:numPr>
        <w:rPr>
          <w:rFonts w:ascii="Arial" w:cs="Arial" w:eastAsia="Arial" w:hAnsi="Arial"/>
          <w:sz w:val="13"/>
          <w:szCs w:val="13"/>
          <w:b w:val="1"/>
          <w:bCs w:val="1"/>
          <w:color w:val="5668B0"/>
        </w:rPr>
      </w:pPr>
      <w:r>
        <w:rPr>
          <w:rFonts w:ascii="Arial" w:cs="Arial" w:eastAsia="Arial" w:hAnsi="Arial"/>
          <w:sz w:val="13"/>
          <w:szCs w:val="13"/>
          <w:color w:val="auto"/>
        </w:rPr>
        <w:t>Only relevant if you are the beneficial owner of shares held in "street name." If you are a shareholder of record and you do not cast your vote, no votes will be cast on your behalf on any of the items of business at the Annual Meeting.</w:t>
      </w:r>
    </w:p>
    <w:p>
      <w:pPr>
        <w:sectPr>
          <w:pgSz w:w="11900" w:h="16838" w:orient="portrait"/>
          <w:cols w:equalWidth="0" w:num="1">
            <w:col w:w="11420"/>
          </w:cols>
          <w:pgMar w:left="240" w:top="142" w:right="239" w:bottom="1440" w:gutter="0" w:footer="0" w:header="0"/>
        </w:sectPr>
      </w:pPr>
    </w:p>
    <w:p>
      <w:pPr>
        <w:spacing w:after="0" w:line="3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If you are a Regeneron employee or former employee, how do you vote shares in the Company Stock Fund in your 401(k) account?</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you participate and hold shares of common stock in the Regeneron Pharmaceuticals, Inc. 401(k) Savings Plan, you may provide voting instructions to Fidelity Management Trust Company, the plan's trustee,</w:t>
      </w:r>
    </w:p>
    <w:p>
      <w:pPr>
        <w:spacing w:after="0" w:line="1" w:lineRule="exact"/>
        <w:rPr>
          <w:sz w:val="20"/>
          <w:szCs w:val="20"/>
          <w:color w:val="auto"/>
        </w:rPr>
      </w:pPr>
    </w:p>
    <w:p>
      <w:pPr>
        <w:jc w:val="both"/>
        <w:ind w:firstLine="1"/>
        <w:spacing w:after="0" w:line="249" w:lineRule="auto"/>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through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by 11:59 p.m., Eastern Time, on June 7, 2016, (2) by calling 1-800-690-6903 by 11:59 p.m., Eastern Time, on June 7, 2016,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you change your vote or revoke your proxy?</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voted by proxy electronically through the Internet or by telephone as described above, you may simply vote again at a later date using the same procedures, in which case the later submitted proxy will be recorded and the earlier vote revoked. If you submitted your proxy by mail, you must (i) file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642620" cy="1930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248285</wp:posOffset>
            </wp:positionV>
            <wp:extent cx="8255" cy="1930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Secretary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solicits proxies and bears the cost of solicitation?</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Solicitation of proxies may be made by mail, in person, or by telephone by officers, directors, and other employees of the Company and by employees of the Company's transfer agent, American Stock Transfer &amp; Trust Company, LLC ("AST"), and employees of Broadridge Financial Solutions, Inc. ("Broadridge"). We will reimburse AST, Broadridge, and our banks, brokers, and other custodians, nominees, and fiduciaries for their respective reasonable costs in the preparation and mailing of proxy materials to shareholders. In addition, we</w:t>
      </w:r>
    </w:p>
    <w:p>
      <w:pPr>
        <w:spacing w:after="0" w:line="215"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00" w:lineRule="exact"/>
        <w:rPr>
          <w:sz w:val="20"/>
          <w:szCs w:val="20"/>
          <w:color w:val="auto"/>
        </w:rPr>
      </w:pPr>
    </w:p>
    <w:p>
      <w:pPr>
        <w:ind w:left="1160" w:hanging="698"/>
        <w:spacing w:after="0"/>
        <w:tabs>
          <w:tab w:leader="none" w:pos="1160" w:val="left"/>
        </w:tabs>
        <w:numPr>
          <w:ilvl w:val="0"/>
          <w:numId w:val="1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have engaged Innisfree M&amp;A Incorporated to assist in the solicitation of proxies and provide related advice and informational support for a services fee and the reimbursement of customary disbursements that are not expected to exceed $25,000 in the aggregate. We will bear all costs of the solicitation of proxies.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Please note that cameras, other photographic equipment, or audio or video recording devices will not be permitted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600075</wp:posOffset>
            </wp:positionV>
            <wp:extent cx="8255" cy="1930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380" w:type="dxa"/>
        <w:tblCellMar>
          <w:top w:w="0" w:type="dxa"/>
          <w:left w:w="0" w:type="dxa"/>
          <w:bottom w:w="0" w:type="dxa"/>
          <w:right w:w="0" w:type="dxa"/>
        </w:tblCellMar>
      </w:tblPr>
      <w:tr>
        <w:trPr>
          <w:trHeight w:val="304"/>
        </w:trPr>
        <w:tc>
          <w:tcPr>
            <w:tcW w:w="2980" w:type="dxa"/>
            <w:vAlign w:val="bottom"/>
          </w:tcPr>
          <w:p>
            <w:pPr>
              <w:spacing w:after="0"/>
              <w:rPr>
                <w:sz w:val="20"/>
                <w:szCs w:val="20"/>
                <w:color w:val="auto"/>
              </w:rPr>
            </w:pPr>
            <w:r>
              <w:rPr>
                <w:rFonts w:ascii="Arial" w:cs="Arial" w:eastAsia="Arial" w:hAnsi="Arial"/>
                <w:sz w:val="16"/>
                <w:szCs w:val="16"/>
                <w:color w:val="183394"/>
              </w:rPr>
              <w:t>General Information about the Meeting</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1: Election of Directors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Pursuant to the Company's Certificate of Incorporation, the board of directors is divided into three classes, denominated Class I, Class II, and Class III, with members of each class holding office for staggered three-year terms. There are currently three members in Class I and Class II and four members in Class III. The respective terms of the directors expire (in all cases, subject to the election and qualification of their successors and to their earlier death, resignation, or removal) as follows:</w:t>
      </w:r>
    </w:p>
    <w:p>
      <w:pPr>
        <w:spacing w:after="0" w:line="202" w:lineRule="exact"/>
        <w:rPr>
          <w:sz w:val="20"/>
          <w:szCs w:val="20"/>
          <w:color w:val="auto"/>
        </w:rPr>
      </w:pPr>
    </w:p>
    <w:p>
      <w:pPr>
        <w:ind w:left="500" w:hanging="499"/>
        <w:spacing w:after="0" w:line="264" w:lineRule="auto"/>
        <w:tabs>
          <w:tab w:leader="none" w:pos="500" w:val="left"/>
        </w:tabs>
        <w:numPr>
          <w:ilvl w:val="0"/>
          <w:numId w:val="20"/>
        </w:numPr>
        <w:rPr>
          <w:rFonts w:ascii="Arial" w:cs="Arial" w:eastAsia="Arial" w:hAnsi="Arial"/>
          <w:sz w:val="16"/>
          <w:szCs w:val="16"/>
          <w:color w:val="5668B0"/>
        </w:rPr>
      </w:pPr>
      <w:r>
        <w:rPr>
          <w:rFonts w:ascii="Arial" w:cs="Arial" w:eastAsia="Arial" w:hAnsi="Arial"/>
          <w:sz w:val="16"/>
          <w:szCs w:val="16"/>
          <w:color w:val="auto"/>
        </w:rPr>
        <w:t>The terms of the Class I Directors expire at the 2016 Annual Meeting;</w:t>
      </w:r>
    </w:p>
    <w:p>
      <w:pPr>
        <w:spacing w:after="0" w:line="164" w:lineRule="exact"/>
        <w:rPr>
          <w:rFonts w:ascii="Arial" w:cs="Arial" w:eastAsia="Arial" w:hAnsi="Arial"/>
          <w:sz w:val="16"/>
          <w:szCs w:val="16"/>
          <w:color w:val="5668B0"/>
        </w:rPr>
      </w:pPr>
    </w:p>
    <w:p>
      <w:pPr>
        <w:ind w:left="500" w:right="20" w:hanging="499"/>
        <w:spacing w:after="0" w:line="264" w:lineRule="auto"/>
        <w:tabs>
          <w:tab w:leader="none" w:pos="500" w:val="left"/>
        </w:tabs>
        <w:numPr>
          <w:ilvl w:val="0"/>
          <w:numId w:val="20"/>
        </w:numPr>
        <w:rPr>
          <w:rFonts w:ascii="Arial" w:cs="Arial" w:eastAsia="Arial" w:hAnsi="Arial"/>
          <w:sz w:val="16"/>
          <w:szCs w:val="16"/>
          <w:color w:val="5668B0"/>
        </w:rPr>
      </w:pPr>
      <w:r>
        <w:rPr>
          <w:rFonts w:ascii="Arial" w:cs="Arial" w:eastAsia="Arial" w:hAnsi="Arial"/>
          <w:sz w:val="16"/>
          <w:szCs w:val="16"/>
          <w:color w:val="auto"/>
        </w:rPr>
        <w:t>The terms of the Class II Directors expire at the 2017 Annual Meeting; and</w:t>
      </w:r>
    </w:p>
    <w:p>
      <w:pPr>
        <w:spacing w:after="0" w:line="164" w:lineRule="exact"/>
        <w:rPr>
          <w:rFonts w:ascii="Arial" w:cs="Arial" w:eastAsia="Arial" w:hAnsi="Arial"/>
          <w:sz w:val="16"/>
          <w:szCs w:val="16"/>
          <w:color w:val="5668B0"/>
        </w:rPr>
      </w:pPr>
    </w:p>
    <w:p>
      <w:pPr>
        <w:ind w:left="500" w:right="20" w:hanging="499"/>
        <w:spacing w:after="0" w:line="264" w:lineRule="auto"/>
        <w:tabs>
          <w:tab w:leader="none" w:pos="500" w:val="left"/>
        </w:tabs>
        <w:numPr>
          <w:ilvl w:val="0"/>
          <w:numId w:val="20"/>
        </w:numPr>
        <w:rPr>
          <w:rFonts w:ascii="Arial" w:cs="Arial" w:eastAsia="Arial" w:hAnsi="Arial"/>
          <w:sz w:val="16"/>
          <w:szCs w:val="16"/>
          <w:color w:val="5668B0"/>
        </w:rPr>
      </w:pPr>
      <w:r>
        <w:rPr>
          <w:rFonts w:ascii="Arial" w:cs="Arial" w:eastAsia="Arial" w:hAnsi="Arial"/>
          <w:sz w:val="16"/>
          <w:szCs w:val="16"/>
          <w:color w:val="auto"/>
        </w:rPr>
        <w:t>The terms of the Class III Directors expire at the 2018 Annual Meeting.</w:t>
      </w:r>
    </w:p>
    <w:p>
      <w:pPr>
        <w:spacing w:after="0" w:line="17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board of directors, upon the recommendation of the Corporate Governance and Compliance Committee, has nominated for election at the 2016 Annual Meeting Michael 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Brown, M.D., Leonard S. Schleifer, M.D., Ph.D., and George D. Yancopoulos, M.D., Ph.D. as Class I Directors for a three-year term expiring at the 2019 Annual Meeting.</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Biographical information is given below, as of April 14, 2016, for each nominee for Class I Director, and for each of the other directors whose term of office will continue after the 2016 Annual Meeting. All the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The board of directors unanimously recommends a vote FOR the election of Michael S. Brown, M.D., Leonard S. Schleifer, M.D., Ph.D., and George D. Yancopoulos, M.D., Ph.D. as Class I Directors for a three-year term expiring at the 2019 Annual Meeting.</w:t>
      </w:r>
    </w:p>
    <w:p>
      <w:pPr>
        <w:spacing w:after="0" w:line="967"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table below summarizes key qualifications, skills, or attributes most relevant to the decision to nominate the director to serve on the board of directors. A mark indicates a specific area of focus or expertise on which the board of directors relies most. The lack of a mark does not mean the director does not possess that qualification or skill. Each director biography below describes these qualifications and relevant experience in more detail. We believe the table below demonstrates the breadth and diversity of the collective experience, expertise, and skills of our board of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80" w:type="dxa"/>
            <w:vAlign w:val="bottom"/>
            <w:shd w:val="clear" w:color="auto" w:fill="5668B0"/>
          </w:tcPr>
          <w:p>
            <w:pPr>
              <w:spacing w:after="0"/>
              <w:rPr>
                <w:sz w:val="13"/>
                <w:szCs w:val="13"/>
                <w:color w:val="auto"/>
              </w:rPr>
            </w:pPr>
          </w:p>
        </w:tc>
        <w:tc>
          <w:tcPr>
            <w:tcW w:w="1100" w:type="dxa"/>
            <w:vAlign w:val="bottom"/>
            <w:shd w:val="clear" w:color="auto" w:fill="5668B0"/>
          </w:tcPr>
          <w:p>
            <w:pPr>
              <w:spacing w:after="0"/>
              <w:rPr>
                <w:sz w:val="13"/>
                <w:szCs w:val="13"/>
                <w:color w:val="auto"/>
              </w:rPr>
            </w:pPr>
          </w:p>
        </w:tc>
        <w:tc>
          <w:tcPr>
            <w:tcW w:w="820" w:type="dxa"/>
            <w:vAlign w:val="bottom"/>
            <w:shd w:val="clear" w:color="auto" w:fill="5668B0"/>
          </w:tcPr>
          <w:p>
            <w:pPr>
              <w:spacing w:after="0"/>
              <w:rPr>
                <w:sz w:val="13"/>
                <w:szCs w:val="13"/>
                <w:color w:val="auto"/>
              </w:rPr>
            </w:pPr>
          </w:p>
        </w:tc>
        <w:tc>
          <w:tcPr>
            <w:tcW w:w="82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80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Marc</w:t>
            </w:r>
          </w:p>
        </w:tc>
        <w:tc>
          <w:tcPr>
            <w:tcW w:w="740" w:type="dxa"/>
            <w:vAlign w:val="bottom"/>
            <w:shd w:val="clear" w:color="auto" w:fill="5668B0"/>
          </w:tcPr>
          <w:p>
            <w:pPr>
              <w:spacing w:after="0"/>
              <w:rPr>
                <w:sz w:val="13"/>
                <w:szCs w:val="13"/>
                <w:color w:val="auto"/>
              </w:rPr>
            </w:pPr>
          </w:p>
        </w:tc>
        <w:tc>
          <w:tcPr>
            <w:tcW w:w="940" w:type="dxa"/>
            <w:vAlign w:val="bottom"/>
            <w:shd w:val="clear" w:color="auto" w:fill="5668B0"/>
          </w:tcPr>
          <w:p>
            <w:pPr>
              <w:spacing w:after="0"/>
              <w:rPr>
                <w:sz w:val="13"/>
                <w:szCs w:val="13"/>
                <w:color w:val="auto"/>
              </w:rPr>
            </w:pPr>
          </w:p>
        </w:tc>
      </w:tr>
      <w:tr>
        <w:trPr>
          <w:trHeight w:val="152"/>
        </w:trPr>
        <w:tc>
          <w:tcPr>
            <w:tcW w:w="2980" w:type="dxa"/>
            <w:vAlign w:val="bottom"/>
            <w:shd w:val="clear" w:color="auto" w:fill="5668B0"/>
          </w:tcPr>
          <w:p>
            <w:pPr>
              <w:spacing w:after="0"/>
              <w:rPr>
                <w:sz w:val="13"/>
                <w:szCs w:val="13"/>
                <w:color w:val="auto"/>
              </w:rPr>
            </w:pPr>
          </w:p>
        </w:tc>
        <w:tc>
          <w:tcPr>
            <w:tcW w:w="1100" w:type="dxa"/>
            <w:vAlign w:val="bottom"/>
            <w:shd w:val="clear" w:color="auto" w:fill="5668B0"/>
          </w:tcPr>
          <w:p>
            <w:pPr>
              <w:spacing w:after="0"/>
              <w:rPr>
                <w:sz w:val="13"/>
                <w:szCs w:val="13"/>
                <w:color w:val="auto"/>
              </w:rPr>
            </w:pPr>
          </w:p>
        </w:tc>
        <w:tc>
          <w:tcPr>
            <w:tcW w:w="82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Michael S.</w:t>
            </w:r>
          </w:p>
        </w:tc>
        <w:tc>
          <w:tcPr>
            <w:tcW w:w="82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Joseph L.</w:t>
            </w:r>
          </w:p>
        </w:tc>
        <w:tc>
          <w:tcPr>
            <w:tcW w:w="90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92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Leonard S.</w:t>
            </w:r>
          </w:p>
        </w:tc>
        <w:tc>
          <w:tcPr>
            <w:tcW w:w="80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Tessier-</w:t>
            </w:r>
          </w:p>
        </w:tc>
        <w:tc>
          <w:tcPr>
            <w:tcW w:w="74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P. Roy</w:t>
            </w:r>
          </w:p>
        </w:tc>
        <w:tc>
          <w:tcPr>
            <w:tcW w:w="94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George D.</w:t>
            </w:r>
          </w:p>
        </w:tc>
      </w:tr>
      <w:tr>
        <w:trPr>
          <w:trHeight w:val="152"/>
        </w:trPr>
        <w:tc>
          <w:tcPr>
            <w:tcW w:w="2980" w:type="dxa"/>
            <w:vAlign w:val="bottom"/>
            <w:shd w:val="clear" w:color="auto" w:fill="5668B0"/>
          </w:tcPr>
          <w:p>
            <w:pPr>
              <w:spacing w:after="0"/>
              <w:rPr>
                <w:sz w:val="13"/>
                <w:szCs w:val="13"/>
                <w:color w:val="auto"/>
              </w:rPr>
            </w:pPr>
          </w:p>
        </w:tc>
        <w:tc>
          <w:tcPr>
            <w:tcW w:w="11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Charles A.</w:t>
            </w:r>
          </w:p>
        </w:tc>
        <w:tc>
          <w:tcPr>
            <w:tcW w:w="82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Brown,</w:t>
            </w:r>
          </w:p>
        </w:tc>
        <w:tc>
          <w:tcPr>
            <w:tcW w:w="82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Goldstein,</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Christine A.</w:t>
            </w:r>
          </w:p>
        </w:tc>
        <w:tc>
          <w:tcPr>
            <w:tcW w:w="700" w:type="dxa"/>
            <w:vAlign w:val="bottom"/>
            <w:shd w:val="clear" w:color="auto" w:fill="5668B0"/>
          </w:tcPr>
          <w:p>
            <w:pPr>
              <w:ind w:left="80"/>
              <w:spacing w:after="0"/>
              <w:rPr>
                <w:sz w:val="20"/>
                <w:szCs w:val="20"/>
                <w:color w:val="auto"/>
              </w:rPr>
            </w:pPr>
            <w:r>
              <w:rPr>
                <w:rFonts w:ascii="Arial" w:cs="Arial" w:eastAsia="Arial" w:hAnsi="Arial"/>
                <w:sz w:val="13"/>
                <w:szCs w:val="13"/>
                <w:color w:val="FFFFFE"/>
              </w:rPr>
              <w:t>Arthur F.</w:t>
            </w:r>
          </w:p>
        </w:tc>
        <w:tc>
          <w:tcPr>
            <w:tcW w:w="92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Schleifer,</w:t>
            </w:r>
          </w:p>
        </w:tc>
        <w:tc>
          <w:tcPr>
            <w:tcW w:w="8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George L.</w:t>
            </w:r>
          </w:p>
        </w:tc>
        <w:tc>
          <w:tcPr>
            <w:tcW w:w="7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Lavigne,</w:t>
            </w:r>
          </w:p>
        </w:tc>
        <w:tc>
          <w:tcPr>
            <w:tcW w:w="74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Vagelos,</w:t>
            </w:r>
          </w:p>
        </w:tc>
        <w:tc>
          <w:tcPr>
            <w:tcW w:w="94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Yancopoulos,</w:t>
            </w:r>
          </w:p>
        </w:tc>
      </w:tr>
      <w:tr>
        <w:trPr>
          <w:trHeight w:val="147"/>
        </w:trPr>
        <w:tc>
          <w:tcPr>
            <w:tcW w:w="2980" w:type="dxa"/>
            <w:vAlign w:val="bottom"/>
            <w:shd w:val="clear" w:color="auto" w:fill="5668B0"/>
          </w:tcPr>
          <w:p>
            <w:pPr>
              <w:spacing w:after="0" w:line="148" w:lineRule="exact"/>
              <w:rPr>
                <w:sz w:val="20"/>
                <w:szCs w:val="20"/>
                <w:color w:val="auto"/>
              </w:rPr>
            </w:pPr>
            <w:r>
              <w:rPr>
                <w:rFonts w:ascii="Arial" w:cs="Arial" w:eastAsia="Arial" w:hAnsi="Arial"/>
                <w:sz w:val="13"/>
                <w:szCs w:val="13"/>
                <w:color w:val="FFFFFE"/>
              </w:rPr>
              <w:t>Experience, Expertise, or Attribute</w:t>
            </w:r>
          </w:p>
        </w:tc>
        <w:tc>
          <w:tcPr>
            <w:tcW w:w="110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Baker</w:t>
            </w:r>
          </w:p>
        </w:tc>
        <w:tc>
          <w:tcPr>
            <w:tcW w:w="82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M.D.</w:t>
            </w:r>
          </w:p>
        </w:tc>
        <w:tc>
          <w:tcPr>
            <w:tcW w:w="82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M.D.</w:t>
            </w:r>
          </w:p>
        </w:tc>
        <w:tc>
          <w:tcPr>
            <w:tcW w:w="90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Poon</w:t>
            </w:r>
          </w:p>
        </w:tc>
        <w:tc>
          <w:tcPr>
            <w:tcW w:w="700" w:type="dxa"/>
            <w:vAlign w:val="bottom"/>
            <w:shd w:val="clear" w:color="auto" w:fill="5668B0"/>
          </w:tcPr>
          <w:p>
            <w:pPr>
              <w:ind w:left="280"/>
              <w:spacing w:after="0" w:line="148" w:lineRule="exact"/>
              <w:rPr>
                <w:sz w:val="20"/>
                <w:szCs w:val="20"/>
                <w:color w:val="auto"/>
              </w:rPr>
            </w:pPr>
            <w:r>
              <w:rPr>
                <w:rFonts w:ascii="Arial" w:cs="Arial" w:eastAsia="Arial" w:hAnsi="Arial"/>
                <w:sz w:val="13"/>
                <w:szCs w:val="13"/>
                <w:color w:val="FFFFFE"/>
              </w:rPr>
              <w:t>Ryan</w:t>
            </w:r>
          </w:p>
        </w:tc>
        <w:tc>
          <w:tcPr>
            <w:tcW w:w="92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M.D., Ph.D.</w:t>
            </w:r>
          </w:p>
        </w:tc>
        <w:tc>
          <w:tcPr>
            <w:tcW w:w="80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Sing</w:t>
            </w:r>
          </w:p>
        </w:tc>
        <w:tc>
          <w:tcPr>
            <w:tcW w:w="700" w:type="dxa"/>
            <w:vAlign w:val="bottom"/>
            <w:shd w:val="clear" w:color="auto" w:fill="5668B0"/>
          </w:tcPr>
          <w:p>
            <w:pPr>
              <w:ind w:left="260"/>
              <w:spacing w:after="0" w:line="148" w:lineRule="exact"/>
              <w:rPr>
                <w:sz w:val="20"/>
                <w:szCs w:val="20"/>
                <w:color w:val="auto"/>
              </w:rPr>
            </w:pPr>
            <w:r>
              <w:rPr>
                <w:rFonts w:ascii="Arial" w:cs="Arial" w:eastAsia="Arial" w:hAnsi="Arial"/>
                <w:sz w:val="13"/>
                <w:szCs w:val="13"/>
                <w:color w:val="FFFFFE"/>
              </w:rPr>
              <w:t>Ph.D.</w:t>
            </w:r>
          </w:p>
        </w:tc>
        <w:tc>
          <w:tcPr>
            <w:tcW w:w="74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M.D.</w:t>
            </w:r>
          </w:p>
        </w:tc>
        <w:tc>
          <w:tcPr>
            <w:tcW w:w="94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M.D., Ph.D.</w:t>
            </w:r>
          </w:p>
        </w:tc>
      </w:tr>
      <w:tr>
        <w:trPr>
          <w:trHeight w:val="152"/>
        </w:trPr>
        <w:tc>
          <w:tcPr>
            <w:tcW w:w="2980" w:type="dxa"/>
            <w:vAlign w:val="bottom"/>
            <w:shd w:val="clear" w:color="auto" w:fill="E6ECF8"/>
          </w:tcPr>
          <w:p>
            <w:pPr>
              <w:spacing w:after="0"/>
              <w:rPr>
                <w:sz w:val="20"/>
                <w:szCs w:val="20"/>
                <w:color w:val="auto"/>
              </w:rPr>
            </w:pPr>
            <w:r>
              <w:rPr>
                <w:rFonts w:ascii="Arial" w:cs="Arial" w:eastAsia="Arial" w:hAnsi="Arial"/>
                <w:sz w:val="13"/>
                <w:szCs w:val="13"/>
                <w:color w:val="auto"/>
              </w:rPr>
              <w:t>Industry Experience</w:t>
            </w:r>
          </w:p>
        </w:tc>
        <w:tc>
          <w:tcPr>
            <w:tcW w:w="1100" w:type="dxa"/>
            <w:vAlign w:val="bottom"/>
            <w:shd w:val="clear" w:color="auto" w:fill="E6ECF8"/>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CF8"/>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CF8"/>
          </w:tcPr>
          <w:p>
            <w:pPr>
              <w:jc w:val="right"/>
              <w:ind w:right="3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43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ind w:left="260"/>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3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ind w:left="2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jc w:val="right"/>
              <w:ind w:right="413"/>
              <w:spacing w:after="0"/>
              <w:rPr>
                <w:sz w:val="20"/>
                <w:szCs w:val="20"/>
                <w:color w:val="auto"/>
              </w:rPr>
            </w:pPr>
            <w:r>
              <w:rPr>
                <w:rFonts w:ascii="Arial" w:cs="Arial" w:eastAsia="Arial" w:hAnsi="Arial"/>
                <w:sz w:val="13"/>
                <w:szCs w:val="13"/>
                <w:color w:val="auto"/>
              </w:rPr>
              <w:t>·</w:t>
            </w:r>
          </w:p>
        </w:tc>
      </w:tr>
      <w:tr>
        <w:trPr>
          <w:trHeight w:val="152"/>
        </w:trPr>
        <w:tc>
          <w:tcPr>
            <w:tcW w:w="2980" w:type="dxa"/>
            <w:vAlign w:val="bottom"/>
            <w:shd w:val="clear" w:color="auto" w:fill="D0DBEF"/>
          </w:tcPr>
          <w:p>
            <w:pPr>
              <w:spacing w:after="0"/>
              <w:rPr>
                <w:sz w:val="20"/>
                <w:szCs w:val="20"/>
                <w:color w:val="auto"/>
              </w:rPr>
            </w:pPr>
            <w:r>
              <w:rPr>
                <w:rFonts w:ascii="Arial" w:cs="Arial" w:eastAsia="Arial" w:hAnsi="Arial"/>
                <w:sz w:val="13"/>
                <w:szCs w:val="13"/>
                <w:color w:val="auto"/>
              </w:rPr>
              <w:t>Executive/Leadership Experience</w:t>
            </w:r>
          </w:p>
        </w:tc>
        <w:tc>
          <w:tcPr>
            <w:tcW w:w="1100" w:type="dxa"/>
            <w:vAlign w:val="bottom"/>
            <w:shd w:val="clear" w:color="auto" w:fill="D0DBEF"/>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D0DBEF"/>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D0DBEF"/>
          </w:tcPr>
          <w:p>
            <w:pPr>
              <w:jc w:val="right"/>
              <w:ind w:right="39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43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ind w:left="260"/>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3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ind w:left="28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jc w:val="right"/>
              <w:ind w:right="413"/>
              <w:spacing w:after="0"/>
              <w:rPr>
                <w:sz w:val="20"/>
                <w:szCs w:val="20"/>
                <w:color w:val="auto"/>
              </w:rPr>
            </w:pPr>
            <w:r>
              <w:rPr>
                <w:rFonts w:ascii="Arial" w:cs="Arial" w:eastAsia="Arial" w:hAnsi="Arial"/>
                <w:sz w:val="13"/>
                <w:szCs w:val="13"/>
                <w:color w:val="auto"/>
              </w:rPr>
              <w:t>·</w:t>
            </w:r>
          </w:p>
        </w:tc>
      </w:tr>
      <w:tr>
        <w:trPr>
          <w:trHeight w:val="152"/>
        </w:trPr>
        <w:tc>
          <w:tcPr>
            <w:tcW w:w="2980" w:type="dxa"/>
            <w:vAlign w:val="bottom"/>
            <w:shd w:val="clear" w:color="auto" w:fill="E6ECF8"/>
          </w:tcPr>
          <w:p>
            <w:pPr>
              <w:spacing w:after="0"/>
              <w:rPr>
                <w:sz w:val="20"/>
                <w:szCs w:val="20"/>
                <w:color w:val="auto"/>
              </w:rPr>
            </w:pPr>
            <w:r>
              <w:rPr>
                <w:rFonts w:ascii="Arial" w:cs="Arial" w:eastAsia="Arial" w:hAnsi="Arial"/>
                <w:sz w:val="13"/>
                <w:szCs w:val="13"/>
                <w:color w:val="auto"/>
              </w:rPr>
              <w:t>Science/Biotech Background</w:t>
            </w:r>
          </w:p>
        </w:tc>
        <w:tc>
          <w:tcPr>
            <w:tcW w:w="1100" w:type="dxa"/>
            <w:vAlign w:val="bottom"/>
            <w:shd w:val="clear" w:color="auto" w:fill="E6ECF8"/>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CF8"/>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CF8"/>
          </w:tcPr>
          <w:p>
            <w:pPr>
              <w:jc w:val="right"/>
              <w:ind w:right="3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43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spacing w:after="0"/>
              <w:rPr>
                <w:sz w:val="13"/>
                <w:szCs w:val="13"/>
                <w:color w:val="auto"/>
              </w:rPr>
            </w:pPr>
          </w:p>
        </w:tc>
        <w:tc>
          <w:tcPr>
            <w:tcW w:w="920" w:type="dxa"/>
            <w:vAlign w:val="bottom"/>
            <w:shd w:val="clear" w:color="auto" w:fill="E6ECF8"/>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3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ind w:left="2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jc w:val="right"/>
              <w:ind w:right="413"/>
              <w:spacing w:after="0"/>
              <w:rPr>
                <w:sz w:val="20"/>
                <w:szCs w:val="20"/>
                <w:color w:val="auto"/>
              </w:rPr>
            </w:pPr>
            <w:r>
              <w:rPr>
                <w:rFonts w:ascii="Arial" w:cs="Arial" w:eastAsia="Arial" w:hAnsi="Arial"/>
                <w:sz w:val="13"/>
                <w:szCs w:val="13"/>
                <w:color w:val="auto"/>
              </w:rPr>
              <w:t>·</w:t>
            </w:r>
          </w:p>
        </w:tc>
      </w:tr>
      <w:tr>
        <w:trPr>
          <w:trHeight w:val="152"/>
        </w:trPr>
        <w:tc>
          <w:tcPr>
            <w:tcW w:w="2980" w:type="dxa"/>
            <w:vAlign w:val="bottom"/>
            <w:shd w:val="clear" w:color="auto" w:fill="D0DBEF"/>
          </w:tcPr>
          <w:p>
            <w:pPr>
              <w:spacing w:after="0"/>
              <w:rPr>
                <w:sz w:val="20"/>
                <w:szCs w:val="20"/>
                <w:color w:val="auto"/>
              </w:rPr>
            </w:pPr>
            <w:r>
              <w:rPr>
                <w:rFonts w:ascii="Arial" w:cs="Arial" w:eastAsia="Arial" w:hAnsi="Arial"/>
                <w:sz w:val="13"/>
                <w:szCs w:val="13"/>
                <w:color w:val="auto"/>
              </w:rPr>
              <w:t>Research/Academic Experience</w:t>
            </w:r>
          </w:p>
        </w:tc>
        <w:tc>
          <w:tcPr>
            <w:tcW w:w="1100" w:type="dxa"/>
            <w:vAlign w:val="bottom"/>
            <w:shd w:val="clear" w:color="auto" w:fill="D0DBEF"/>
          </w:tcPr>
          <w:p>
            <w:pPr>
              <w:spacing w:after="0"/>
              <w:rPr>
                <w:sz w:val="13"/>
                <w:szCs w:val="13"/>
                <w:color w:val="auto"/>
              </w:rPr>
            </w:pPr>
          </w:p>
        </w:tc>
        <w:tc>
          <w:tcPr>
            <w:tcW w:w="820" w:type="dxa"/>
            <w:vAlign w:val="bottom"/>
            <w:shd w:val="clear" w:color="auto" w:fill="D0DBEF"/>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D0DBEF"/>
          </w:tcPr>
          <w:p>
            <w:pPr>
              <w:jc w:val="right"/>
              <w:ind w:right="39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43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spacing w:after="0"/>
              <w:rPr>
                <w:sz w:val="13"/>
                <w:szCs w:val="13"/>
                <w:color w:val="auto"/>
              </w:rPr>
            </w:pPr>
          </w:p>
        </w:tc>
        <w:tc>
          <w:tcPr>
            <w:tcW w:w="920" w:type="dxa"/>
            <w:vAlign w:val="bottom"/>
            <w:shd w:val="clear" w:color="auto" w:fill="D0DBEF"/>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spacing w:after="0"/>
              <w:rPr>
                <w:sz w:val="13"/>
                <w:szCs w:val="13"/>
                <w:color w:val="auto"/>
              </w:rPr>
            </w:pPr>
          </w:p>
        </w:tc>
        <w:tc>
          <w:tcPr>
            <w:tcW w:w="700" w:type="dxa"/>
            <w:vAlign w:val="bottom"/>
            <w:shd w:val="clear" w:color="auto" w:fill="D0DBEF"/>
          </w:tcPr>
          <w:p>
            <w:pPr>
              <w:ind w:left="28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jc w:val="right"/>
              <w:ind w:right="413"/>
              <w:spacing w:after="0"/>
              <w:rPr>
                <w:sz w:val="20"/>
                <w:szCs w:val="20"/>
                <w:color w:val="auto"/>
              </w:rPr>
            </w:pPr>
            <w:r>
              <w:rPr>
                <w:rFonts w:ascii="Arial" w:cs="Arial" w:eastAsia="Arial" w:hAnsi="Arial"/>
                <w:sz w:val="13"/>
                <w:szCs w:val="13"/>
                <w:color w:val="auto"/>
              </w:rPr>
              <w:t>·</w:t>
            </w:r>
          </w:p>
        </w:tc>
      </w:tr>
      <w:tr>
        <w:trPr>
          <w:trHeight w:val="152"/>
        </w:trPr>
        <w:tc>
          <w:tcPr>
            <w:tcW w:w="2980" w:type="dxa"/>
            <w:vAlign w:val="bottom"/>
            <w:shd w:val="clear" w:color="auto" w:fill="E6ECF8"/>
          </w:tcPr>
          <w:p>
            <w:pPr>
              <w:spacing w:after="0"/>
              <w:rPr>
                <w:sz w:val="20"/>
                <w:szCs w:val="20"/>
                <w:color w:val="auto"/>
              </w:rPr>
            </w:pPr>
            <w:r>
              <w:rPr>
                <w:rFonts w:ascii="Arial" w:cs="Arial" w:eastAsia="Arial" w:hAnsi="Arial"/>
                <w:sz w:val="13"/>
                <w:szCs w:val="13"/>
                <w:color w:val="auto"/>
              </w:rPr>
              <w:t>Business Strategy/Operations Experience</w:t>
            </w:r>
          </w:p>
        </w:tc>
        <w:tc>
          <w:tcPr>
            <w:tcW w:w="1100" w:type="dxa"/>
            <w:vAlign w:val="bottom"/>
            <w:shd w:val="clear" w:color="auto" w:fill="E6ECF8"/>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CF8"/>
          </w:tcPr>
          <w:p>
            <w:pPr>
              <w:spacing w:after="0"/>
              <w:rPr>
                <w:sz w:val="13"/>
                <w:szCs w:val="13"/>
                <w:color w:val="auto"/>
              </w:rPr>
            </w:pPr>
          </w:p>
        </w:tc>
        <w:tc>
          <w:tcPr>
            <w:tcW w:w="82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43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ind w:left="260"/>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3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ind w:left="2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jc w:val="right"/>
              <w:ind w:right="413"/>
              <w:spacing w:after="0"/>
              <w:rPr>
                <w:sz w:val="20"/>
                <w:szCs w:val="20"/>
                <w:color w:val="auto"/>
              </w:rPr>
            </w:pPr>
            <w:r>
              <w:rPr>
                <w:rFonts w:ascii="Arial" w:cs="Arial" w:eastAsia="Arial" w:hAnsi="Arial"/>
                <w:sz w:val="13"/>
                <w:szCs w:val="13"/>
                <w:color w:val="auto"/>
              </w:rPr>
              <w:t>·</w:t>
            </w:r>
          </w:p>
        </w:tc>
      </w:tr>
      <w:tr>
        <w:trPr>
          <w:trHeight w:val="152"/>
        </w:trPr>
        <w:tc>
          <w:tcPr>
            <w:tcW w:w="2980" w:type="dxa"/>
            <w:vAlign w:val="bottom"/>
            <w:shd w:val="clear" w:color="auto" w:fill="D0DBEF"/>
          </w:tcPr>
          <w:p>
            <w:pPr>
              <w:spacing w:after="0"/>
              <w:rPr>
                <w:sz w:val="20"/>
                <w:szCs w:val="20"/>
                <w:color w:val="auto"/>
              </w:rPr>
            </w:pPr>
            <w:r>
              <w:rPr>
                <w:rFonts w:ascii="Arial" w:cs="Arial" w:eastAsia="Arial" w:hAnsi="Arial"/>
                <w:sz w:val="13"/>
                <w:szCs w:val="13"/>
                <w:color w:val="auto"/>
              </w:rPr>
              <w:t>Financial Expertise</w:t>
            </w:r>
          </w:p>
        </w:tc>
        <w:tc>
          <w:tcPr>
            <w:tcW w:w="1100" w:type="dxa"/>
            <w:vAlign w:val="bottom"/>
            <w:shd w:val="clear" w:color="auto" w:fill="D0DBEF"/>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D0DBEF"/>
          </w:tcPr>
          <w:p>
            <w:pPr>
              <w:spacing w:after="0"/>
              <w:rPr>
                <w:sz w:val="13"/>
                <w:szCs w:val="13"/>
                <w:color w:val="auto"/>
              </w:rPr>
            </w:pPr>
          </w:p>
        </w:tc>
        <w:tc>
          <w:tcPr>
            <w:tcW w:w="82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43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ind w:left="260"/>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3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spacing w:after="0"/>
              <w:rPr>
                <w:sz w:val="13"/>
                <w:szCs w:val="13"/>
                <w:color w:val="auto"/>
              </w:rPr>
            </w:pPr>
          </w:p>
        </w:tc>
        <w:tc>
          <w:tcPr>
            <w:tcW w:w="740" w:type="dxa"/>
            <w:vAlign w:val="bottom"/>
            <w:shd w:val="clear" w:color="auto" w:fill="D0DBEF"/>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spacing w:after="0"/>
              <w:rPr>
                <w:sz w:val="13"/>
                <w:szCs w:val="13"/>
                <w:color w:val="auto"/>
              </w:rPr>
            </w:pPr>
          </w:p>
        </w:tc>
      </w:tr>
      <w:tr>
        <w:trPr>
          <w:trHeight w:val="152"/>
        </w:trPr>
        <w:tc>
          <w:tcPr>
            <w:tcW w:w="2980" w:type="dxa"/>
            <w:vAlign w:val="bottom"/>
            <w:shd w:val="clear" w:color="auto" w:fill="E6ECF8"/>
          </w:tcPr>
          <w:p>
            <w:pPr>
              <w:spacing w:after="0"/>
              <w:rPr>
                <w:sz w:val="20"/>
                <w:szCs w:val="20"/>
                <w:color w:val="auto"/>
              </w:rPr>
            </w:pPr>
            <w:r>
              <w:rPr>
                <w:rFonts w:ascii="Arial" w:cs="Arial" w:eastAsia="Arial" w:hAnsi="Arial"/>
                <w:sz w:val="13"/>
                <w:szCs w:val="13"/>
                <w:color w:val="auto"/>
              </w:rPr>
              <w:t>Public Company CEO Experience</w:t>
            </w:r>
          </w:p>
        </w:tc>
        <w:tc>
          <w:tcPr>
            <w:tcW w:w="1100" w:type="dxa"/>
            <w:vAlign w:val="bottom"/>
            <w:shd w:val="clear" w:color="auto" w:fill="E6ECF8"/>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shd w:val="clear" w:color="auto" w:fill="E6ECF8"/>
          </w:tcPr>
          <w:p>
            <w:pPr>
              <w:spacing w:after="0"/>
              <w:rPr>
                <w:sz w:val="13"/>
                <w:szCs w:val="13"/>
                <w:color w:val="auto"/>
              </w:rPr>
            </w:pPr>
          </w:p>
        </w:tc>
        <w:tc>
          <w:tcPr>
            <w:tcW w:w="820" w:type="dxa"/>
            <w:vAlign w:val="bottom"/>
            <w:shd w:val="clear" w:color="auto" w:fill="E6ECF8"/>
          </w:tcPr>
          <w:p>
            <w:pPr>
              <w:spacing w:after="0"/>
              <w:rPr>
                <w:sz w:val="13"/>
                <w:szCs w:val="13"/>
                <w:color w:val="auto"/>
              </w:rPr>
            </w:pPr>
          </w:p>
        </w:tc>
        <w:tc>
          <w:tcPr>
            <w:tcW w:w="900" w:type="dxa"/>
            <w:vAlign w:val="bottom"/>
            <w:shd w:val="clear" w:color="auto" w:fill="E6ECF8"/>
          </w:tcPr>
          <w:p>
            <w:pPr>
              <w:spacing w:after="0"/>
              <w:rPr>
                <w:sz w:val="13"/>
                <w:szCs w:val="13"/>
                <w:color w:val="auto"/>
              </w:rPr>
            </w:pPr>
          </w:p>
        </w:tc>
        <w:tc>
          <w:tcPr>
            <w:tcW w:w="700" w:type="dxa"/>
            <w:vAlign w:val="bottom"/>
            <w:shd w:val="clear" w:color="auto" w:fill="E6ECF8"/>
          </w:tcPr>
          <w:p>
            <w:pPr>
              <w:ind w:left="260"/>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4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spacing w:after="0"/>
              <w:rPr>
                <w:sz w:val="13"/>
                <w:szCs w:val="13"/>
                <w:color w:val="auto"/>
              </w:rPr>
            </w:pPr>
          </w:p>
        </w:tc>
        <w:tc>
          <w:tcPr>
            <w:tcW w:w="700" w:type="dxa"/>
            <w:vAlign w:val="bottom"/>
            <w:shd w:val="clear" w:color="auto" w:fill="E6ECF8"/>
          </w:tcPr>
          <w:p>
            <w:pPr>
              <w:spacing w:after="0"/>
              <w:rPr>
                <w:sz w:val="13"/>
                <w:szCs w:val="13"/>
                <w:color w:val="auto"/>
              </w:rPr>
            </w:pPr>
          </w:p>
        </w:tc>
        <w:tc>
          <w:tcPr>
            <w:tcW w:w="740" w:type="dxa"/>
            <w:vAlign w:val="bottom"/>
            <w:shd w:val="clear" w:color="auto" w:fill="E6ECF8"/>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spacing w:after="0"/>
              <w:rPr>
                <w:sz w:val="13"/>
                <w:szCs w:val="13"/>
                <w:color w:val="auto"/>
              </w:rPr>
            </w:pPr>
          </w:p>
        </w:tc>
      </w:tr>
      <w:tr>
        <w:trPr>
          <w:trHeight w:val="152"/>
        </w:trPr>
        <w:tc>
          <w:tcPr>
            <w:tcW w:w="2980" w:type="dxa"/>
            <w:vAlign w:val="bottom"/>
            <w:tcBorders>
              <w:bottom w:val="single" w:sz="8" w:color="5668B0"/>
            </w:tcBorders>
            <w:shd w:val="clear" w:color="auto" w:fill="D0DBEF"/>
          </w:tcPr>
          <w:p>
            <w:pPr>
              <w:spacing w:after="0"/>
              <w:rPr>
                <w:sz w:val="20"/>
                <w:szCs w:val="20"/>
                <w:color w:val="auto"/>
              </w:rPr>
            </w:pPr>
            <w:r>
              <w:rPr>
                <w:rFonts w:ascii="Arial" w:cs="Arial" w:eastAsia="Arial" w:hAnsi="Arial"/>
                <w:sz w:val="13"/>
                <w:szCs w:val="13"/>
                <w:color w:val="auto"/>
              </w:rPr>
              <w:t>National Academy of Sciences Membership</w:t>
            </w:r>
          </w:p>
        </w:tc>
        <w:tc>
          <w:tcPr>
            <w:tcW w:w="1100" w:type="dxa"/>
            <w:vAlign w:val="bottom"/>
            <w:tcBorders>
              <w:bottom w:val="single" w:sz="8" w:color="5668B0"/>
            </w:tcBorders>
            <w:shd w:val="clear" w:color="auto" w:fill="D0DBEF"/>
          </w:tcPr>
          <w:p>
            <w:pPr>
              <w:spacing w:after="0"/>
              <w:rPr>
                <w:sz w:val="13"/>
                <w:szCs w:val="13"/>
                <w:color w:val="auto"/>
              </w:rPr>
            </w:pPr>
          </w:p>
        </w:tc>
        <w:tc>
          <w:tcPr>
            <w:tcW w:w="820" w:type="dxa"/>
            <w:vAlign w:val="bottom"/>
            <w:tcBorders>
              <w:bottom w:val="single" w:sz="8" w:color="5668B0"/>
            </w:tcBorders>
            <w:shd w:val="clear" w:color="auto" w:fill="D0DBEF"/>
          </w:tcPr>
          <w:p>
            <w:pPr>
              <w:jc w:val="right"/>
              <w:ind w:right="39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5668B0"/>
            </w:tcBorders>
            <w:shd w:val="clear" w:color="auto" w:fill="D0DBEF"/>
          </w:tcPr>
          <w:p>
            <w:pPr>
              <w:jc w:val="right"/>
              <w:ind w:right="39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668B0"/>
            </w:tcBorders>
            <w:shd w:val="clear" w:color="auto" w:fill="D0DBEF"/>
          </w:tcPr>
          <w:p>
            <w:pPr>
              <w:spacing w:after="0"/>
              <w:rPr>
                <w:sz w:val="13"/>
                <w:szCs w:val="13"/>
                <w:color w:val="auto"/>
              </w:rPr>
            </w:pPr>
          </w:p>
        </w:tc>
        <w:tc>
          <w:tcPr>
            <w:tcW w:w="700" w:type="dxa"/>
            <w:vAlign w:val="bottom"/>
            <w:tcBorders>
              <w:bottom w:val="single" w:sz="8" w:color="5668B0"/>
            </w:tcBorders>
            <w:shd w:val="clear" w:color="auto" w:fill="D0DBEF"/>
          </w:tcPr>
          <w:p>
            <w:pPr>
              <w:spacing w:after="0"/>
              <w:rPr>
                <w:sz w:val="13"/>
                <w:szCs w:val="13"/>
                <w:color w:val="auto"/>
              </w:rPr>
            </w:pPr>
          </w:p>
        </w:tc>
        <w:tc>
          <w:tcPr>
            <w:tcW w:w="920" w:type="dxa"/>
            <w:vAlign w:val="bottom"/>
            <w:tcBorders>
              <w:bottom w:val="single" w:sz="8" w:color="5668B0"/>
            </w:tcBorders>
            <w:shd w:val="clear" w:color="auto" w:fill="D0DBEF"/>
          </w:tcPr>
          <w:p>
            <w:pPr>
              <w:spacing w:after="0"/>
              <w:rPr>
                <w:sz w:val="13"/>
                <w:szCs w:val="13"/>
                <w:color w:val="auto"/>
              </w:rPr>
            </w:pPr>
          </w:p>
        </w:tc>
        <w:tc>
          <w:tcPr>
            <w:tcW w:w="800" w:type="dxa"/>
            <w:vAlign w:val="bottom"/>
            <w:tcBorders>
              <w:bottom w:val="single" w:sz="8" w:color="5668B0"/>
            </w:tcBorders>
            <w:shd w:val="clear" w:color="auto" w:fill="D0DBEF"/>
          </w:tcPr>
          <w:p>
            <w:pPr>
              <w:spacing w:after="0"/>
              <w:rPr>
                <w:sz w:val="13"/>
                <w:szCs w:val="13"/>
                <w:color w:val="auto"/>
              </w:rPr>
            </w:pPr>
          </w:p>
        </w:tc>
        <w:tc>
          <w:tcPr>
            <w:tcW w:w="700" w:type="dxa"/>
            <w:vAlign w:val="bottom"/>
            <w:tcBorders>
              <w:bottom w:val="single" w:sz="8" w:color="5668B0"/>
            </w:tcBorders>
            <w:shd w:val="clear" w:color="auto" w:fill="D0DBEF"/>
          </w:tcPr>
          <w:p>
            <w:pPr>
              <w:ind w:left="2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5668B0"/>
            </w:tcBorders>
            <w:shd w:val="clear" w:color="auto" w:fill="D0DBEF"/>
          </w:tcPr>
          <w:p>
            <w:pPr>
              <w:jc w:val="right"/>
              <w:ind w:right="35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668B0"/>
            </w:tcBorders>
            <w:shd w:val="clear" w:color="auto" w:fill="D0DBEF"/>
          </w:tcPr>
          <w:p>
            <w:pPr>
              <w:jc w:val="right"/>
              <w:ind w:right="413"/>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642620" cy="200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136525</wp:posOffset>
            </wp:positionV>
            <wp:extent cx="8255" cy="1930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104" w:lineRule="exact"/>
        <w:rPr>
          <w:sz w:val="20"/>
          <w:szCs w:val="20"/>
          <w:color w:val="auto"/>
        </w:rPr>
      </w:pPr>
    </w:p>
    <w:p>
      <w:pPr>
        <w:ind w:left="1160" w:hanging="744"/>
        <w:spacing w:after="0"/>
        <w:tabs>
          <w:tab w:leader="none" w:pos="1160" w:val="left"/>
        </w:tabs>
        <w:numPr>
          <w:ilvl w:val="0"/>
          <w:numId w:val="2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ind w:right="4640"/>
        <w:spacing w:after="0" w:line="276" w:lineRule="auto"/>
        <w:rPr>
          <w:sz w:val="20"/>
          <w:szCs w:val="20"/>
          <w:color w:val="auto"/>
        </w:rPr>
      </w:pPr>
      <w:r>
        <w:rPr>
          <w:rFonts w:ascii="Arial" w:cs="Arial" w:eastAsia="Arial" w:hAnsi="Arial"/>
          <w:sz w:val="20"/>
          <w:szCs w:val="20"/>
          <w:b w:val="1"/>
          <w:bCs w:val="1"/>
          <w:color w:val="5668B0"/>
        </w:rPr>
        <w:t>Nominees for Class I Directors for Election at the 2016 Annual Meeting for a Term Expiring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72555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5668B0"/>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1991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75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right="300"/>
        <w:spacing w:after="0" w:line="249" w:lineRule="auto"/>
        <w:rPr>
          <w:sz w:val="20"/>
          <w:szCs w:val="20"/>
          <w:color w:val="auto"/>
        </w:rPr>
      </w:pPr>
      <w:r>
        <w:rPr>
          <w:rFonts w:ascii="Arial" w:cs="Arial" w:eastAsia="Arial" w:hAnsi="Arial"/>
          <w:sz w:val="16"/>
          <w:szCs w:val="16"/>
          <w:color w:val="auto"/>
        </w:rPr>
        <w:t>MICHAEL S. BROWN, M.D., 75, has been a Director of the Company since June 1991. Dr. Brown holds the Distinguished Chair in Biomedical Sciences, a position he has held since 1989,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and the U.S. National Medal of Science in 1988. Dr. Brown is a member of the National Academy of Sciences, the National Academy of Medicine, and Foreign Member of the Royal Society (London). Dr. Brown retired as a member of the board of directors of Pfizer Inc. in 2012. 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to the board to conclude that Dr. Brown should serve as a director.</w:t>
      </w:r>
    </w:p>
    <w:p>
      <w:pPr>
        <w:spacing w:after="0" w:line="791" w:lineRule="exact"/>
        <w:rPr>
          <w:sz w:val="20"/>
          <w:szCs w:val="20"/>
          <w:color w:val="auto"/>
        </w:rPr>
      </w:pPr>
    </w:p>
    <w:p>
      <w:pPr>
        <w:sectPr>
          <w:pgSz w:w="11900" w:h="16838" w:orient="portrait"/>
          <w:cols w:equalWidth="0" w:num="2">
            <w:col w:w="1060" w:space="480"/>
            <w:col w:w="9880"/>
          </w:cols>
          <w:pgMar w:left="240" w:top="142" w:right="239" w:bottom="1440" w:gutter="0" w:footer="0" w:header="0"/>
          <w:type w:val="continuous"/>
        </w:sectPr>
      </w:pPr>
    </w:p>
    <w:p>
      <w:pPr>
        <w:spacing w:after="0" w:line="203"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5668B0"/>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p>
      <w:pPr>
        <w:jc w:val="both"/>
        <w:ind w:left="1540" w:right="300"/>
        <w:spacing w:after="0" w:line="250" w:lineRule="auto"/>
        <w:rPr>
          <w:sz w:val="20"/>
          <w:szCs w:val="20"/>
          <w:color w:val="auto"/>
        </w:rPr>
      </w:pPr>
      <w:r>
        <w:rPr>
          <w:rFonts w:ascii="Arial" w:cs="Arial" w:eastAsia="Arial" w:hAnsi="Arial"/>
          <w:sz w:val="16"/>
          <w:szCs w:val="16"/>
          <w:color w:val="auto"/>
        </w:rPr>
        <w:t>LEONARD S. SCHLEIFER, M.D., Ph.D., 63, co-founded the Company in 1988, has been a Director and its President and Chief Executive Officer since its inception, and served as Chairman of the Board from 1990 through 1994. Dr. Schleifer is a licensed physician and is certified in Neurology by the American Board of Psychiatry and Neurology. With more than 25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 Dr. Schleifer's significant industry and leadership experience, as well as his extensive knowledge of the Company, led the board to conclude that Dr. Schleifer should serve as a director.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1988</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63</w:t>
      </w:r>
    </w:p>
    <w:p>
      <w:pPr>
        <w:spacing w:after="0" w:line="200" w:lineRule="exact"/>
        <w:rPr>
          <w:sz w:val="20"/>
          <w:szCs w:val="20"/>
          <w:color w:val="auto"/>
        </w:rPr>
      </w:pPr>
    </w:p>
    <w:p>
      <w:pPr>
        <w:spacing w:after="0" w:line="203"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5668B0"/>
        </w:rPr>
        <w:t>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GEORGE D. YANCOPOULOS, M.D., Ph.D., 56, joined the Company in 1989 as its Founding Scientist and is currently President,</w:t>
            </w:r>
          </w:p>
        </w:tc>
      </w:t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Regeneron Laboratories and Chief Scientific Officer. While holding leadership positions, Dr. Yancopoulos headed the Company's</w:t>
            </w:r>
          </w:p>
        </w:tc>
      </w:t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laboratories and science organization since joining the Company and, in 1998, was named the Company's first Chief Scientific</w:t>
            </w:r>
          </w:p>
        </w:tc>
      </w:t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Officer. Dr. Yancopoulos joined the board in 2001. He received his M.D. and Ph.D. from Columbia University. Dr. Yancopoulos was</w:t>
            </w:r>
          </w:p>
        </w:tc>
      </w:t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the 11th most highly cited scientist in the world in the 1990s, and in 2004 he was elected to be a member of the National Academy</w:t>
            </w:r>
          </w:p>
        </w:tc>
      </w:t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of Sciences. Dr. Yancopoulos, together with key members of his team, is a principal inventor and developer of the four FDA-</w:t>
            </w:r>
          </w:p>
        </w:tc>
      </w:t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approved drugs the Company has developed, EYLEA® (aflibercept) Injection, Praluent® (alirocumab) Injection, ZALTRAP® (ziv-</w:t>
            </w:r>
          </w:p>
        </w:tc>
      </w:tr>
      <w:tr>
        <w:trPr>
          <w:trHeight w:val="174"/>
        </w:trPr>
        <w:tc>
          <w:tcPr>
            <w:tcW w:w="1300" w:type="dxa"/>
            <w:vAlign w:val="bottom"/>
          </w:tcPr>
          <w:p>
            <w:pPr>
              <w:spacing w:after="0"/>
              <w:rPr>
                <w:sz w:val="15"/>
                <w:szCs w:val="15"/>
                <w:color w:val="auto"/>
              </w:rPr>
            </w:pPr>
          </w:p>
        </w:tc>
        <w:tc>
          <w:tcPr>
            <w:tcW w:w="10120" w:type="dxa"/>
            <w:vAlign w:val="bottom"/>
            <w:gridSpan w:val="3"/>
          </w:tcPr>
          <w:p>
            <w:pPr>
              <w:ind w:left="240"/>
              <w:spacing w:after="0" w:line="174" w:lineRule="exact"/>
              <w:rPr>
                <w:sz w:val="20"/>
                <w:szCs w:val="20"/>
                <w:color w:val="auto"/>
              </w:rPr>
            </w:pPr>
            <w:r>
              <w:rPr>
                <w:rFonts w:ascii="Arial" w:cs="Arial" w:eastAsia="Arial" w:hAnsi="Arial"/>
                <w:sz w:val="16"/>
                <w:szCs w:val="16"/>
                <w:color w:val="auto"/>
              </w:rPr>
              <w:t>aflibercept) Injection for Intravenous Infusion, and ARCALYST® (rilonacept) Injection for Subcutaneous Use, as well as of its</w:t>
            </w: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 xml:space="preserve">foundation technologies, including the TRAP technology,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and </w:t>
            </w:r>
            <w:r>
              <w:rPr>
                <w:rFonts w:ascii="Arial" w:cs="Arial" w:eastAsia="Arial" w:hAnsi="Arial"/>
                <w:sz w:val="16"/>
                <w:szCs w:val="16"/>
                <w:i w:val="1"/>
                <w:iCs w:val="1"/>
                <w:color w:val="auto"/>
              </w:rPr>
              <w:t>VelocImmune®</w:t>
            </w:r>
            <w:r>
              <w:rPr>
                <w:rFonts w:ascii="Arial" w:cs="Arial" w:eastAsia="Arial" w:hAnsi="Arial"/>
                <w:sz w:val="16"/>
                <w:szCs w:val="16"/>
                <w:color w:val="auto"/>
              </w:rPr>
              <w:t>. As one of the few members of the</w:t>
            </w: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2001</w:t>
            </w: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National Academy of Sciences from industry and as an author of a substantial number of scientific publications, Dr. Yancopoulos</w:t>
            </w: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Age: 56</w:t>
            </w: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has a distinguished record of scientific expertise. Dr. Yancopoulos also brings to the board his experience in leading and managing</w:t>
            </w:r>
          </w:p>
        </w:tc>
      </w:t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a complex research and development organization and his in-depth knowledge of the Company's technologies and research and</w:t>
            </w:r>
          </w:p>
        </w:tc>
      </w:tr>
      <w:tr>
        <w:trPr>
          <w:trHeight w:val="190"/>
        </w:trPr>
        <w:tc>
          <w:tcPr>
            <w:tcW w:w="1300" w:type="dxa"/>
            <w:vAlign w:val="bottom"/>
          </w:tcPr>
          <w:p>
            <w:pPr>
              <w:spacing w:after="0"/>
              <w:rPr>
                <w:sz w:val="16"/>
                <w:szCs w:val="16"/>
                <w:color w:val="auto"/>
              </w:rPr>
            </w:pPr>
          </w:p>
        </w:tc>
        <w:tc>
          <w:tcPr>
            <w:tcW w:w="10120" w:type="dxa"/>
            <w:vAlign w:val="bottom"/>
            <w:gridSpan w:val="3"/>
          </w:tcPr>
          <w:p>
            <w:pPr>
              <w:ind w:left="240"/>
              <w:spacing w:after="0"/>
              <w:rPr>
                <w:sz w:val="20"/>
                <w:szCs w:val="20"/>
                <w:color w:val="auto"/>
              </w:rPr>
            </w:pPr>
            <w:r>
              <w:rPr>
                <w:rFonts w:ascii="Arial" w:cs="Arial" w:eastAsia="Arial" w:hAnsi="Arial"/>
                <w:sz w:val="16"/>
                <w:szCs w:val="16"/>
                <w:color w:val="auto"/>
              </w:rPr>
              <w:t>development programs. Dr. Yancopoulos's significant industry and scientific experience, as well as his extensive knowledge of the</w:t>
            </w:r>
          </w:p>
        </w:tc>
      </w:tr>
      <w:tr>
        <w:trPr>
          <w:trHeight w:val="197"/>
        </w:trPr>
        <w:tc>
          <w:tcPr>
            <w:tcW w:w="1300" w:type="dxa"/>
            <w:vAlign w:val="bottom"/>
          </w:tcPr>
          <w:p>
            <w:pPr>
              <w:spacing w:after="0"/>
              <w:rPr>
                <w:sz w:val="17"/>
                <w:szCs w:val="17"/>
                <w:color w:val="auto"/>
              </w:rPr>
            </w:pPr>
          </w:p>
        </w:tc>
        <w:tc>
          <w:tcPr>
            <w:tcW w:w="9120" w:type="dxa"/>
            <w:vAlign w:val="bottom"/>
            <w:gridSpan w:val="2"/>
          </w:tcPr>
          <w:p>
            <w:pPr>
              <w:ind w:left="240"/>
              <w:spacing w:after="0"/>
              <w:rPr>
                <w:sz w:val="20"/>
                <w:szCs w:val="20"/>
                <w:color w:val="auto"/>
              </w:rPr>
            </w:pPr>
            <w:r>
              <w:rPr>
                <w:rFonts w:ascii="Arial" w:cs="Arial" w:eastAsia="Arial" w:hAnsi="Arial"/>
                <w:sz w:val="16"/>
                <w:szCs w:val="16"/>
                <w:color w:val="auto"/>
              </w:rPr>
              <w:t>Company, led the board to conclude that Dr. Yancopoulos should serve as a director.</w:t>
            </w:r>
          </w:p>
        </w:tc>
        <w:tc>
          <w:tcPr>
            <w:tcW w:w="1000" w:type="dxa"/>
            <w:vAlign w:val="bottom"/>
          </w:tcPr>
          <w:p>
            <w:pPr>
              <w:spacing w:after="0"/>
              <w:rPr>
                <w:sz w:val="17"/>
                <w:szCs w:val="17"/>
                <w:color w:val="auto"/>
              </w:rPr>
            </w:pPr>
          </w:p>
        </w:tc>
      </w:tr>
      <w:tr>
        <w:trPr>
          <w:trHeight w:val="192"/>
        </w:trPr>
        <w:tc>
          <w:tcPr>
            <w:tcW w:w="1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04"/>
        </w:trPr>
        <w:tc>
          <w:tcPr>
            <w:tcW w:w="1300" w:type="dxa"/>
            <w:vAlign w:val="bottom"/>
          </w:tcPr>
          <w:p>
            <w:pPr>
              <w:spacing w:after="0"/>
              <w:rPr>
                <w:sz w:val="24"/>
                <w:szCs w:val="24"/>
                <w:color w:val="auto"/>
              </w:rPr>
            </w:pPr>
          </w:p>
        </w:tc>
        <w:tc>
          <w:tcPr>
            <w:tcW w:w="5640" w:type="dxa"/>
            <w:vAlign w:val="bottom"/>
            <w:tcBorders>
              <w:right w:val="single" w:sz="8" w:color="183394"/>
            </w:tcBorders>
          </w:tcPr>
          <w:p>
            <w:pPr>
              <w:spacing w:after="0"/>
              <w:rPr>
                <w:sz w:val="24"/>
                <w:szCs w:val="24"/>
                <w:color w:val="auto"/>
              </w:rPr>
            </w:pPr>
          </w:p>
        </w:tc>
        <w:tc>
          <w:tcPr>
            <w:tcW w:w="3480" w:type="dxa"/>
            <w:vAlign w:val="bottom"/>
          </w:tcPr>
          <w:p>
            <w:pPr>
              <w:ind w:left="660"/>
              <w:spacing w:after="0"/>
              <w:rPr>
                <w:sz w:val="20"/>
                <w:szCs w:val="20"/>
                <w:color w:val="auto"/>
              </w:rPr>
            </w:pPr>
            <w:r>
              <w:rPr>
                <w:rFonts w:ascii="Arial" w:cs="Arial" w:eastAsia="Arial" w:hAnsi="Arial"/>
                <w:sz w:val="16"/>
                <w:szCs w:val="16"/>
                <w:color w:val="183394"/>
              </w:rPr>
              <w:t>Proposal No. 1: Election of Directors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11</w:t>
            </w:r>
          </w:p>
        </w:tc>
      </w:tr>
      <w:tr>
        <w:trPr>
          <w:trHeight w:val="110"/>
        </w:trPr>
        <w:tc>
          <w:tcPr>
            <w:tcW w:w="1300" w:type="dxa"/>
            <w:vAlign w:val="bottom"/>
            <w:tcBorders>
              <w:bottom w:val="single" w:sz="8" w:color="808080"/>
            </w:tcBorders>
          </w:tcPr>
          <w:p>
            <w:pPr>
              <w:spacing w:after="0"/>
              <w:rPr>
                <w:sz w:val="9"/>
                <w:szCs w:val="9"/>
                <w:color w:val="auto"/>
              </w:rPr>
            </w:pPr>
          </w:p>
        </w:tc>
        <w:tc>
          <w:tcPr>
            <w:tcW w:w="564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Class II Directors Continuing in Office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Term Expires at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45"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5668B0"/>
        </w:rPr>
        <w:t>Joseph L. Goldstein,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JOSEPH L. GOLDSTEIN, M.D., 75, has been a Director of the Company since June 1991. Dr. Goldstein has been a Professor of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Molecular Genetics and Internal Medicine and the Chairman of the Department of Molecular Genetics at The University of Texas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Southwestern Medical Center at Dallas since 1977. Dr. Goldstein is a member of the National Academy of Sciences, the National</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Academy of Medicine, and the Royal Society (London). He also serves on the Boards of Trustees of The Rockefeller University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the Howard Hughes Medical Institute. Drs. Goldstein and Brown jointly received the Nobel Prize for Physiology or Medicine in 1985</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and the U.S. National Medal of Science in 1988. Dr. Goldstein's extensive research experience, his distinguished scientific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academic credentials, including his receipt of the Nobel Prize for Physiology or Medicine in 1985, and his substantial understanding</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of the Company gained through his service as a director since 1991, led to the board's decision to nominate Dr. Goldstein for</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reelection to the board.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1991</w:t>
            </w:r>
          </w:p>
        </w:tc>
        <w:tc>
          <w:tcPr>
            <w:tcW w:w="10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Age: 75</w:t>
            </w:r>
          </w:p>
        </w:tc>
        <w:tc>
          <w:tcPr>
            <w:tcW w:w="10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10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10120" w:type="dxa"/>
            <w:vAlign w:val="bottom"/>
            <w:vMerge w:val="restart"/>
          </w:tcPr>
          <w:p>
            <w:pPr>
              <w:ind w:left="240"/>
              <w:spacing w:after="0"/>
              <w:rPr>
                <w:sz w:val="20"/>
                <w:szCs w:val="20"/>
                <w:color w:val="auto"/>
              </w:rPr>
            </w:pPr>
            <w:r>
              <w:rPr>
                <w:rFonts w:ascii="Arial" w:cs="Arial" w:eastAsia="Arial" w:hAnsi="Arial"/>
                <w:sz w:val="16"/>
                <w:szCs w:val="16"/>
                <w:b w:val="1"/>
                <w:bCs w:val="1"/>
                <w:color w:val="5668B0"/>
              </w:rPr>
              <w:t>Christine A. Poon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183394"/>
            </w:tcBorders>
          </w:tcPr>
          <w:p>
            <w:pPr>
              <w:spacing w:after="0"/>
              <w:rPr>
                <w:sz w:val="16"/>
                <w:szCs w:val="16"/>
                <w:color w:val="auto"/>
              </w:rPr>
            </w:pPr>
          </w:p>
        </w:tc>
        <w:tc>
          <w:tcPr>
            <w:tcW w:w="10120" w:type="dxa"/>
            <w:vAlign w:val="bottom"/>
            <w:tcBorders>
              <w:bottom w:val="single" w:sz="8" w:color="183394"/>
            </w:tcBorders>
            <w:vMerge w:val="continue"/>
          </w:tcPr>
          <w:p>
            <w:pPr>
              <w:spacing w:after="0"/>
              <w:rPr>
                <w:sz w:val="16"/>
                <w:szCs w:val="16"/>
                <w:color w:val="auto"/>
              </w:rPr>
            </w:pPr>
          </w:p>
        </w:tc>
        <w:tc>
          <w:tcPr>
            <w:tcW w:w="20" w:type="dxa"/>
            <w:vAlign w:val="bottom"/>
            <w:tcBorders>
              <w:bottom w:val="single" w:sz="8" w:color="183394"/>
            </w:tcBorders>
            <w:shd w:val="clear" w:color="auto" w:fill="18339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CHRISTINE A. POON, 63, has been a director of the Company since November 2010. Ms. Poon is an Executive-in-Residence in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the Department of Management and Human Resources at The Max M. Fisher College of Business at The Ohio State University,</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where she served as Dean and the John W. Berry, Sr. Chair in Business from 2009 to 2014. Prior to joining Fisher, Ms. Poon spent</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eight years at Johnson &amp; Johnson, most recently as vice chairman and worldwide chairman of pharmaceuticals. At Johnson &amp;</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Johnson, she served on the company's board of directors and executive committee and was responsible for managing the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pharmaceutical businesses of the company. Prior to joining Johnson &amp; Johnson, Ms. Poon spent 15 years at Bristol-Myers Squibb</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Company, a global pharmaceutical company, where she held senior leadership positions including president of international</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medicines and president of medical devices. Ms. Poon serves on the boards of directors of Prudential Financial, Inc. and The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Sherwin-Williams Company and the Supervisory Board of Royal Philips Electronics. Ms. Poon's extensive expertise in domestic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2010</w:t>
            </w: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international business operations, including sales and marketing and commercial operations, and her deep strategic and</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Age: 63</w:t>
            </w: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operational knowledge of the pharmaceutical industry, led to the board's decision to nominate Ms. Poon for reelection to the board.</w:t>
            </w: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10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10120" w:type="dxa"/>
            <w:vAlign w:val="bottom"/>
            <w:vMerge w:val="restart"/>
          </w:tcPr>
          <w:p>
            <w:pPr>
              <w:ind w:left="240"/>
              <w:spacing w:after="0"/>
              <w:rPr>
                <w:sz w:val="20"/>
                <w:szCs w:val="20"/>
                <w:color w:val="auto"/>
              </w:rPr>
            </w:pPr>
            <w:r>
              <w:rPr>
                <w:rFonts w:ascii="Arial" w:cs="Arial" w:eastAsia="Arial" w:hAnsi="Arial"/>
                <w:sz w:val="16"/>
                <w:szCs w:val="16"/>
                <w:b w:val="1"/>
                <w:bCs w:val="1"/>
                <w:color w:val="5668B0"/>
              </w:rPr>
              <w:t>P. Roy Vagelos, M.D.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183394"/>
            </w:tcBorders>
          </w:tcPr>
          <w:p>
            <w:pPr>
              <w:spacing w:after="0"/>
              <w:rPr>
                <w:sz w:val="16"/>
                <w:szCs w:val="16"/>
                <w:color w:val="auto"/>
              </w:rPr>
            </w:pPr>
          </w:p>
        </w:tc>
        <w:tc>
          <w:tcPr>
            <w:tcW w:w="10120" w:type="dxa"/>
            <w:vAlign w:val="bottom"/>
            <w:tcBorders>
              <w:bottom w:val="single" w:sz="8" w:color="183394"/>
            </w:tcBorders>
            <w:vMerge w:val="continue"/>
          </w:tcPr>
          <w:p>
            <w:pPr>
              <w:spacing w:after="0"/>
              <w:rPr>
                <w:sz w:val="16"/>
                <w:szCs w:val="16"/>
                <w:color w:val="auto"/>
              </w:rPr>
            </w:pPr>
          </w:p>
        </w:tc>
        <w:tc>
          <w:tcPr>
            <w:tcW w:w="20" w:type="dxa"/>
            <w:vAlign w:val="bottom"/>
            <w:tcBorders>
              <w:bottom w:val="single" w:sz="8" w:color="183394"/>
            </w:tcBorders>
            <w:shd w:val="clear" w:color="auto" w:fill="18339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P. ROY VAGELOS, M.D., 86, has been Chairman of the Board of the Company since January 1995. Prior to joining Regeneron,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Dr. Vagelos was Chairman of the Board and Chief Executive Officer of Merck &amp; Co., Inc., a global pharmaceutical company. 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joined Merck in 1975, became a director in 1984, President and Chief Executive Officer in 1985, and Chairman in 1986. Dr. Vagelos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retired from all positions with Merck in 1994. Dr. Vagelos served on the board of directors of Theravance, Inc. through April 2010.</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Dr. Vagelos is a member of the National Academy of Sciences. During his tenure as Chairman of the Company and previously as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Chairman and Chief Executive Officer of Merck, Dr. Vagelos developed an extensive understanding of the complex business,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operational, scientific, regulatory, and commercial issues facing the pharmaceutical industry. Dr. Vagelos's tenure and experience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with the Company and Merck, his extensive knowledge of the pharmaceutical industry, his substantial leadership experience, and</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10140" w:type="dxa"/>
            <w:vAlign w:val="bottom"/>
            <w:gridSpan w:val="2"/>
          </w:tcPr>
          <w:p>
            <w:pPr>
              <w:ind w:left="240"/>
              <w:spacing w:after="0"/>
              <w:rPr>
                <w:sz w:val="20"/>
                <w:szCs w:val="20"/>
                <w:color w:val="auto"/>
              </w:rPr>
            </w:pPr>
            <w:r>
              <w:rPr>
                <w:rFonts w:ascii="Arial" w:cs="Arial" w:eastAsia="Arial" w:hAnsi="Arial"/>
                <w:sz w:val="16"/>
                <w:szCs w:val="16"/>
                <w:color w:val="auto"/>
              </w:rPr>
              <w:t>his significant understanding of the Company led to the board's decision to nominate Dr. Vagelos for reelection to the board.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1995</w:t>
            </w:r>
          </w:p>
        </w:tc>
        <w:tc>
          <w:tcPr>
            <w:tcW w:w="10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Age: 86</w:t>
            </w:r>
          </w:p>
        </w:tc>
        <w:tc>
          <w:tcPr>
            <w:tcW w:w="10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42620" cy="1930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121920</wp:posOffset>
            </wp:positionV>
            <wp:extent cx="8255" cy="1930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930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-1355725</wp:posOffset>
            </wp:positionV>
            <wp:extent cx="875665" cy="9880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75665" cy="988060"/>
                    </a:xfrm>
                    <a:prstGeom prst="rect">
                      <a:avLst/>
                    </a:prstGeom>
                    <a:noFill/>
                  </pic:spPr>
                </pic:pic>
              </a:graphicData>
            </a:graphic>
          </wp:anchor>
        </w:drawing>
      </w:r>
    </w:p>
    <w:p>
      <w:pPr>
        <w:spacing w:after="0" w:line="81" w:lineRule="exact"/>
        <w:rPr>
          <w:sz w:val="20"/>
          <w:szCs w:val="20"/>
          <w:color w:val="auto"/>
        </w:rPr>
      </w:pPr>
    </w:p>
    <w:p>
      <w:pPr>
        <w:ind w:left="1160" w:hanging="744"/>
        <w:spacing w:after="0"/>
        <w:tabs>
          <w:tab w:leader="none" w:pos="1160" w:val="left"/>
        </w:tabs>
        <w:numPr>
          <w:ilvl w:val="0"/>
          <w:numId w:val="2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Class III Directors Continuing in Office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Term Expires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45"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5668B0"/>
        </w:rPr>
        <w:t>Charles A.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CHARLES A. BAKER, 83, has been a Director of the Company since February 1989. In September 2000, Mr. Baker retired as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Chairman, President, and Chief Executive Officer of The Liposome Company, Inc., a biopharmaceutical company, a position he had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held since December 1989. During his career, Mr. Baker served in a senior management capacity in various other pharmaceutical</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companies, including tenures as Group Vice President, Squibb Corporation (now Bristol-Myers Squibb Company) and President,</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Squibb International, and various senior executive positions at Abbott Laboratories and Pfizer Inc. From 1994 to 2013, Mr. Baker</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served as a member of the board of directors of Progenics Pharmaceuticals, Inc., a biopharmaceutical company. Mr. Baker's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substantial commercial experience gained from leadership roles at biopharmaceutical and pharmaceutical companies, his extensive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industry knowledge, his having overseen the approval, manufacture, and marketing of pharmaceutical products throughout the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world and having led a biotechnology company to sustained profitability, and his significant understanding of the Company led the</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1989</w:t>
            </w:r>
          </w:p>
        </w:tc>
        <w:tc>
          <w:tcPr>
            <w:tcW w:w="9440" w:type="dxa"/>
            <w:vAlign w:val="bottom"/>
            <w:gridSpan w:val="3"/>
          </w:tcPr>
          <w:p>
            <w:pPr>
              <w:ind w:left="240"/>
              <w:spacing w:after="0"/>
              <w:rPr>
                <w:sz w:val="20"/>
                <w:szCs w:val="20"/>
                <w:color w:val="auto"/>
              </w:rPr>
            </w:pPr>
            <w:r>
              <w:rPr>
                <w:rFonts w:ascii="Arial" w:cs="Arial" w:eastAsia="Arial" w:hAnsi="Arial"/>
                <w:sz w:val="16"/>
                <w:szCs w:val="16"/>
                <w:color w:val="auto"/>
              </w:rPr>
              <w:t>board to conclude that Mr. Baker should serve as a director.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Age: 83</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5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944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5668B0"/>
              </w:rPr>
              <w:t>Arthur F. Ryan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183394"/>
            </w:tcBorders>
          </w:tcPr>
          <w:p>
            <w:pPr>
              <w:spacing w:after="0"/>
              <w:rPr>
                <w:sz w:val="16"/>
                <w:szCs w:val="16"/>
                <w:color w:val="auto"/>
              </w:rPr>
            </w:pPr>
          </w:p>
        </w:tc>
        <w:tc>
          <w:tcPr>
            <w:tcW w:w="9440" w:type="dxa"/>
            <w:vAlign w:val="bottom"/>
            <w:tcBorders>
              <w:bottom w:val="single" w:sz="8" w:color="183394"/>
            </w:tcBorders>
            <w:gridSpan w:val="3"/>
            <w:vMerge w:val="continue"/>
          </w:tcPr>
          <w:p>
            <w:pPr>
              <w:spacing w:after="0"/>
              <w:rPr>
                <w:sz w:val="16"/>
                <w:szCs w:val="16"/>
                <w:color w:val="auto"/>
              </w:rPr>
            </w:pPr>
          </w:p>
        </w:tc>
        <w:tc>
          <w:tcPr>
            <w:tcW w:w="700" w:type="dxa"/>
            <w:vAlign w:val="bottom"/>
            <w:tcBorders>
              <w:bottom w:val="single" w:sz="8" w:color="183394"/>
              <w:right w:val="single" w:sz="8" w:color="183394"/>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ARTHUR F. RYAN, 73, has been a Director of the Company since January 2003. In 2008, Mr. Ryan retired as the Chairman of the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Board of Prudential Financial, Inc., one of the largest diversified financial institutions in the world. He served as Chief Executive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Officer of Prudential until December 2007. Prior to joining Prudential in December 1994, Mr. Ryan served as President and Chief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Operating Officer of Chase Manhattan Bank since 1990. Mr. Ryan managed Chase's worldwide retail bank between 1984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1990. From 2008 to 2013, Mr. Ryan served as a non-executive director of the Royal Bank of Scotland Group plc. Since April 2009,</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Mr. Ryan has served as a director of Citizens Financial Group, Inc., a retail bank holding company that became publicly traded in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September 2014, and currently serves as its lead director, chair of the Compensation and Human Resources Committee, and a</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member of the Nominating and Corporate Governance Committee. Mr. Ryan's substantial leadership experience as a chief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executive officer of leading companies in the banking and insurance industries, and his extensive business experience and financial</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2003</w:t>
            </w:r>
          </w:p>
        </w:tc>
        <w:tc>
          <w:tcPr>
            <w:tcW w:w="9440" w:type="dxa"/>
            <w:vAlign w:val="bottom"/>
            <w:gridSpan w:val="3"/>
          </w:tcPr>
          <w:p>
            <w:pPr>
              <w:ind w:left="240"/>
              <w:spacing w:after="0"/>
              <w:rPr>
                <w:sz w:val="20"/>
                <w:szCs w:val="20"/>
                <w:color w:val="auto"/>
              </w:rPr>
            </w:pPr>
            <w:r>
              <w:rPr>
                <w:rFonts w:ascii="Arial" w:cs="Arial" w:eastAsia="Arial" w:hAnsi="Arial"/>
                <w:sz w:val="16"/>
                <w:szCs w:val="16"/>
                <w:color w:val="auto"/>
              </w:rPr>
              <w:t>expertise, led the board to conclude that Mr. Ryan should serve as a director.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Age: 73</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5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944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5668B0"/>
              </w:rPr>
              <w:t>George L. Sing</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183394"/>
            </w:tcBorders>
          </w:tcPr>
          <w:p>
            <w:pPr>
              <w:spacing w:after="0"/>
              <w:rPr>
                <w:sz w:val="16"/>
                <w:szCs w:val="16"/>
                <w:color w:val="auto"/>
              </w:rPr>
            </w:pPr>
          </w:p>
        </w:tc>
        <w:tc>
          <w:tcPr>
            <w:tcW w:w="9440" w:type="dxa"/>
            <w:vAlign w:val="bottom"/>
            <w:tcBorders>
              <w:bottom w:val="single" w:sz="8" w:color="183394"/>
            </w:tcBorders>
            <w:gridSpan w:val="3"/>
            <w:vMerge w:val="continue"/>
          </w:tcPr>
          <w:p>
            <w:pPr>
              <w:spacing w:after="0"/>
              <w:rPr>
                <w:sz w:val="16"/>
                <w:szCs w:val="16"/>
                <w:color w:val="auto"/>
              </w:rPr>
            </w:pPr>
          </w:p>
        </w:tc>
        <w:tc>
          <w:tcPr>
            <w:tcW w:w="700" w:type="dxa"/>
            <w:vAlign w:val="bottom"/>
            <w:tcBorders>
              <w:bottom w:val="single" w:sz="8" w:color="183394"/>
              <w:right w:val="single" w:sz="8" w:color="183394"/>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GEORGE L. SING, 66, has been a Director of the Company since January 1988. Since 1998, he has been a Managing Director of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Lancet Capital, a venture capital investment firm in the healthcare field. From January 2004 to April 2015, Mr. Sing served as Chief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Executive Officer of Stemnion, Inc., a biomedical company in the regenerative medicine field. Mr. Sing's extensive healthcare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4"/>
          </w:tcPr>
          <w:p>
            <w:pPr>
              <w:ind w:left="240"/>
              <w:spacing w:after="0"/>
              <w:rPr>
                <w:sz w:val="20"/>
                <w:szCs w:val="20"/>
                <w:color w:val="auto"/>
              </w:rPr>
            </w:pPr>
            <w:r>
              <w:rPr>
                <w:rFonts w:ascii="Arial" w:cs="Arial" w:eastAsia="Arial" w:hAnsi="Arial"/>
                <w:sz w:val="16"/>
                <w:szCs w:val="16"/>
                <w:color w:val="auto"/>
              </w:rPr>
              <w:t>financial expertise as a healthcare venture capital investor and biomedical company chief executive officer, his executive leadership</w:t>
            </w: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9440" w:type="dxa"/>
            <w:vAlign w:val="bottom"/>
            <w:gridSpan w:val="3"/>
          </w:tcPr>
          <w:p>
            <w:pPr>
              <w:ind w:left="240"/>
              <w:spacing w:after="0"/>
              <w:rPr>
                <w:sz w:val="20"/>
                <w:szCs w:val="20"/>
                <w:color w:val="auto"/>
              </w:rPr>
            </w:pPr>
            <w:r>
              <w:rPr>
                <w:rFonts w:ascii="Arial" w:cs="Arial" w:eastAsia="Arial" w:hAnsi="Arial"/>
                <w:sz w:val="16"/>
                <w:szCs w:val="16"/>
                <w:color w:val="auto"/>
              </w:rPr>
              <w:t>experience, and his substantial knowledge of the Company led the board to conclude that Mr. Sing should serve as a director.</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5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1988</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Age: 66</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5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1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8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640" w:type="dxa"/>
            <w:vAlign w:val="bottom"/>
            <w:tcBorders>
              <w:right w:val="single" w:sz="8" w:color="183394"/>
            </w:tcBorders>
          </w:tcPr>
          <w:p>
            <w:pPr>
              <w:spacing w:after="0"/>
              <w:rPr>
                <w:sz w:val="24"/>
                <w:szCs w:val="24"/>
                <w:color w:val="auto"/>
              </w:rPr>
            </w:pPr>
          </w:p>
        </w:tc>
        <w:tc>
          <w:tcPr>
            <w:tcW w:w="3480" w:type="dxa"/>
            <w:vAlign w:val="bottom"/>
          </w:tcPr>
          <w:p>
            <w:pPr>
              <w:ind w:left="660"/>
              <w:spacing w:after="0"/>
              <w:rPr>
                <w:sz w:val="20"/>
                <w:szCs w:val="20"/>
                <w:color w:val="auto"/>
              </w:rPr>
            </w:pPr>
            <w:r>
              <w:rPr>
                <w:rFonts w:ascii="Arial" w:cs="Arial" w:eastAsia="Arial" w:hAnsi="Arial"/>
                <w:sz w:val="16"/>
                <w:szCs w:val="16"/>
                <w:color w:val="183394"/>
              </w:rPr>
              <w:t>Proposal No. 1: Election of Directors</w:t>
            </w:r>
          </w:p>
        </w:tc>
        <w:tc>
          <w:tcPr>
            <w:tcW w:w="320" w:type="dxa"/>
            <w:vAlign w:val="bottom"/>
            <w:shd w:val="clear" w:color="auto" w:fill="183394"/>
          </w:tcPr>
          <w:p>
            <w:pPr>
              <w:spacing w:after="0"/>
              <w:rPr>
                <w:sz w:val="24"/>
                <w:szCs w:val="24"/>
                <w:color w:val="auto"/>
              </w:rPr>
            </w:pPr>
          </w:p>
        </w:tc>
        <w:tc>
          <w:tcPr>
            <w:tcW w:w="700" w:type="dxa"/>
            <w:vAlign w:val="bottom"/>
            <w:tcBorders>
              <w:right w:val="single" w:sz="8" w:color="183394"/>
            </w:tcBorders>
            <w:shd w:val="clear" w:color="auto" w:fill="183394"/>
          </w:tcPr>
          <w:p>
            <w:pPr>
              <w:jc w:val="right"/>
              <w:ind w:right="338"/>
              <w:spacing w:after="0"/>
              <w:rPr>
                <w:sz w:val="20"/>
                <w:szCs w:val="20"/>
                <w:color w:val="auto"/>
              </w:rPr>
            </w:pPr>
            <w:r>
              <w:rPr>
                <w:rFonts w:ascii="Arial" w:cs="Arial" w:eastAsia="Arial" w:hAnsi="Arial"/>
                <w:sz w:val="16"/>
                <w:szCs w:val="16"/>
                <w:b w:val="1"/>
                <w:bCs w:val="1"/>
                <w:color w:val="FFFFFF"/>
              </w:rPr>
              <w:t>13</w:t>
            </w:r>
          </w:p>
        </w:tc>
        <w:tc>
          <w:tcPr>
            <w:tcW w:w="0" w:type="dxa"/>
            <w:vAlign w:val="bottom"/>
          </w:tcPr>
          <w:p>
            <w:pPr>
              <w:spacing w:after="0"/>
              <w:rPr>
                <w:sz w:val="1"/>
                <w:szCs w:val="1"/>
                <w:color w:val="auto"/>
              </w:rPr>
            </w:pPr>
          </w:p>
        </w:tc>
      </w:tr>
      <w:tr>
        <w:trPr>
          <w:trHeight w:val="110"/>
        </w:trPr>
        <w:tc>
          <w:tcPr>
            <w:tcW w:w="1300" w:type="dxa"/>
            <w:vAlign w:val="bottom"/>
            <w:tcBorders>
              <w:bottom w:val="single" w:sz="8" w:color="808080"/>
            </w:tcBorders>
          </w:tcPr>
          <w:p>
            <w:pPr>
              <w:spacing w:after="0"/>
              <w:rPr>
                <w:sz w:val="9"/>
                <w:szCs w:val="9"/>
                <w:color w:val="auto"/>
              </w:rPr>
            </w:pPr>
          </w:p>
        </w:tc>
        <w:tc>
          <w:tcPr>
            <w:tcW w:w="564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-4003040</wp:posOffset>
            </wp:positionV>
            <wp:extent cx="875665" cy="9880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75665" cy="9880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-2138680</wp:posOffset>
            </wp:positionV>
            <wp:extent cx="875665" cy="9880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75665" cy="98806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5668B0"/>
        </w:rPr>
        <w:t>Marc Tessier-Lavigne,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9820" w:type="dxa"/>
            <w:vAlign w:val="bottom"/>
          </w:tcPr>
          <w:p>
            <w:pPr>
              <w:ind w:left="240"/>
              <w:spacing w:after="0"/>
              <w:rPr>
                <w:sz w:val="20"/>
                <w:szCs w:val="20"/>
                <w:color w:val="auto"/>
              </w:rPr>
            </w:pPr>
            <w:r>
              <w:rPr>
                <w:rFonts w:ascii="Arial" w:cs="Arial" w:eastAsia="Arial" w:hAnsi="Arial"/>
                <w:sz w:val="16"/>
                <w:szCs w:val="16"/>
                <w:color w:val="auto"/>
              </w:rPr>
              <w:t>MARC TESSIER-LAVIGNE, Ph.D., 56, has been a Director of the Company since November 2011. Dr. Tessier-Lavigne has been</w:t>
            </w:r>
          </w:p>
        </w:tc>
      </w:tr>
      <w:tr>
        <w:trPr>
          <w:trHeight w:val="190"/>
        </w:trPr>
        <w:tc>
          <w:tcPr>
            <w:tcW w:w="1300" w:type="dxa"/>
            <w:vAlign w:val="bottom"/>
          </w:tcPr>
          <w:p>
            <w:pPr>
              <w:spacing w:after="0"/>
              <w:rPr>
                <w:sz w:val="16"/>
                <w:szCs w:val="16"/>
                <w:color w:val="auto"/>
              </w:rPr>
            </w:pPr>
          </w:p>
        </w:tc>
        <w:tc>
          <w:tcPr>
            <w:tcW w:w="9820" w:type="dxa"/>
            <w:vAlign w:val="bottom"/>
          </w:tcPr>
          <w:p>
            <w:pPr>
              <w:ind w:left="240"/>
              <w:spacing w:after="0"/>
              <w:rPr>
                <w:sz w:val="20"/>
                <w:szCs w:val="20"/>
                <w:color w:val="auto"/>
              </w:rPr>
            </w:pPr>
            <w:r>
              <w:rPr>
                <w:rFonts w:ascii="Arial" w:cs="Arial" w:eastAsia="Arial" w:hAnsi="Arial"/>
                <w:sz w:val="16"/>
                <w:szCs w:val="16"/>
                <w:color w:val="auto"/>
              </w:rPr>
              <w:t>the President of The Rockefeller University since March 2011 and is a Carson Family Professor and head of the Laboratory of Brain</w:t>
            </w:r>
          </w:p>
        </w:tc>
      </w:tr>
      <w:tr>
        <w:trPr>
          <w:trHeight w:val="190"/>
        </w:trPr>
        <w:tc>
          <w:tcPr>
            <w:tcW w:w="1300" w:type="dxa"/>
            <w:vAlign w:val="bottom"/>
          </w:tcPr>
          <w:p>
            <w:pPr>
              <w:spacing w:after="0"/>
              <w:rPr>
                <w:sz w:val="16"/>
                <w:szCs w:val="16"/>
                <w:color w:val="auto"/>
              </w:rPr>
            </w:pPr>
          </w:p>
        </w:tc>
        <w:tc>
          <w:tcPr>
            <w:tcW w:w="9820" w:type="dxa"/>
            <w:vAlign w:val="bottom"/>
          </w:tcPr>
          <w:p>
            <w:pPr>
              <w:ind w:left="240"/>
              <w:spacing w:after="0"/>
              <w:rPr>
                <w:sz w:val="20"/>
                <w:szCs w:val="20"/>
                <w:color w:val="auto"/>
              </w:rPr>
            </w:pPr>
            <w:r>
              <w:rPr>
                <w:rFonts w:ascii="Arial" w:cs="Arial" w:eastAsia="Arial" w:hAnsi="Arial"/>
                <w:sz w:val="16"/>
                <w:szCs w:val="16"/>
                <w:color w:val="auto"/>
              </w:rPr>
              <w:t>Development at The Rockefeller University. In February 2016, he was appointed the President of Stanford University effective</w:t>
            </w:r>
          </w:p>
        </w:tc>
      </w:tr>
      <w:tr>
        <w:trPr>
          <w:trHeight w:val="190"/>
        </w:trPr>
        <w:tc>
          <w:tcPr>
            <w:tcW w:w="1300" w:type="dxa"/>
            <w:vAlign w:val="bottom"/>
          </w:tcPr>
          <w:p>
            <w:pPr>
              <w:spacing w:after="0"/>
              <w:rPr>
                <w:sz w:val="16"/>
                <w:szCs w:val="16"/>
                <w:color w:val="auto"/>
              </w:rPr>
            </w:pPr>
          </w:p>
        </w:tc>
        <w:tc>
          <w:tcPr>
            <w:tcW w:w="9820" w:type="dxa"/>
            <w:vAlign w:val="bottom"/>
          </w:tcPr>
          <w:p>
            <w:pPr>
              <w:ind w:left="240"/>
              <w:spacing w:after="0"/>
              <w:rPr>
                <w:sz w:val="20"/>
                <w:szCs w:val="20"/>
                <w:color w:val="auto"/>
              </w:rPr>
            </w:pPr>
            <w:r>
              <w:rPr>
                <w:rFonts w:ascii="Arial" w:cs="Arial" w:eastAsia="Arial" w:hAnsi="Arial"/>
                <w:sz w:val="16"/>
                <w:szCs w:val="16"/>
                <w:color w:val="auto"/>
              </w:rPr>
              <w:t>September 1, 2016. Previously, he served as Executive Vice President and Chief Scientific Officer at Genentech,  Inc., which he</w:t>
            </w:r>
          </w:p>
        </w:tc>
      </w:tr>
      <w:tr>
        <w:trPr>
          <w:trHeight w:val="190"/>
        </w:trPr>
        <w:tc>
          <w:tcPr>
            <w:tcW w:w="1300" w:type="dxa"/>
            <w:vAlign w:val="bottom"/>
          </w:tcPr>
          <w:p>
            <w:pPr>
              <w:spacing w:after="0"/>
              <w:rPr>
                <w:sz w:val="16"/>
                <w:szCs w:val="16"/>
                <w:color w:val="auto"/>
              </w:rPr>
            </w:pPr>
          </w:p>
        </w:tc>
        <w:tc>
          <w:tcPr>
            <w:tcW w:w="9820" w:type="dxa"/>
            <w:vAlign w:val="bottom"/>
          </w:tcPr>
          <w:p>
            <w:pPr>
              <w:ind w:left="240"/>
              <w:spacing w:after="0"/>
              <w:rPr>
                <w:sz w:val="20"/>
                <w:szCs w:val="20"/>
                <w:color w:val="auto"/>
              </w:rPr>
            </w:pPr>
            <w:r>
              <w:rPr>
                <w:rFonts w:ascii="Arial" w:cs="Arial" w:eastAsia="Arial" w:hAnsi="Arial"/>
                <w:sz w:val="16"/>
                <w:szCs w:val="16"/>
                <w:color w:val="auto"/>
              </w:rPr>
              <w:t>joined in 2003. He was a professor at Stanford University from 2001 to 2003 and at the University of California, San Francisco from</w:t>
            </w:r>
          </w:p>
        </w:tc>
      </w:tr>
      <w:tr>
        <w:trPr>
          <w:trHeight w:val="190"/>
        </w:trPr>
        <w:tc>
          <w:tcPr>
            <w:tcW w:w="1300" w:type="dxa"/>
            <w:vAlign w:val="bottom"/>
          </w:tcPr>
          <w:p>
            <w:pPr>
              <w:spacing w:after="0"/>
              <w:rPr>
                <w:sz w:val="16"/>
                <w:szCs w:val="16"/>
                <w:color w:val="auto"/>
              </w:rPr>
            </w:pPr>
          </w:p>
        </w:tc>
        <w:tc>
          <w:tcPr>
            <w:tcW w:w="9820" w:type="dxa"/>
            <w:vAlign w:val="bottom"/>
          </w:tcPr>
          <w:p>
            <w:pPr>
              <w:ind w:left="240"/>
              <w:spacing w:after="0"/>
              <w:rPr>
                <w:sz w:val="20"/>
                <w:szCs w:val="20"/>
                <w:color w:val="auto"/>
              </w:rPr>
            </w:pPr>
            <w:r>
              <w:rPr>
                <w:rFonts w:ascii="Arial" w:cs="Arial" w:eastAsia="Arial" w:hAnsi="Arial"/>
                <w:sz w:val="16"/>
                <w:szCs w:val="16"/>
                <w:color w:val="auto"/>
              </w:rPr>
              <w:t>1991 to 2001. Dr. Tessier-Lavigne is a member of the National Academy of Sciences, the National Academy of Medicine, and a</w:t>
            </w:r>
          </w:p>
        </w:tc>
      </w:tr>
      <w:tr>
        <w:trPr>
          <w:trHeight w:val="190"/>
        </w:trPr>
        <w:tc>
          <w:tcPr>
            <w:tcW w:w="1300" w:type="dxa"/>
            <w:vAlign w:val="bottom"/>
          </w:tcPr>
          <w:p>
            <w:pPr>
              <w:spacing w:after="0"/>
              <w:rPr>
                <w:sz w:val="16"/>
                <w:szCs w:val="16"/>
                <w:color w:val="auto"/>
              </w:rPr>
            </w:pPr>
          </w:p>
        </w:tc>
        <w:tc>
          <w:tcPr>
            <w:tcW w:w="9820" w:type="dxa"/>
            <w:vAlign w:val="bottom"/>
          </w:tcPr>
          <w:p>
            <w:pPr>
              <w:ind w:left="240"/>
              <w:spacing w:after="0"/>
              <w:rPr>
                <w:sz w:val="20"/>
                <w:szCs w:val="20"/>
                <w:color w:val="auto"/>
              </w:rPr>
            </w:pPr>
            <w:r>
              <w:rPr>
                <w:rFonts w:ascii="Arial" w:cs="Arial" w:eastAsia="Arial" w:hAnsi="Arial"/>
                <w:sz w:val="16"/>
                <w:szCs w:val="16"/>
                <w:color w:val="auto"/>
              </w:rPr>
              <w:t>fellow of the Royal Societies of the United Kingdom and Canada. Dr. Tessier-Lavigne is a member of the Board of Directors of Agios</w:t>
            </w:r>
          </w:p>
        </w:tc>
      </w:tr>
      <w:tr>
        <w:trPr>
          <w:trHeight w:val="190"/>
        </w:trPr>
        <w:tc>
          <w:tcPr>
            <w:tcW w:w="1300" w:type="dxa"/>
            <w:vAlign w:val="bottom"/>
          </w:tcPr>
          <w:p>
            <w:pPr>
              <w:spacing w:after="0"/>
              <w:rPr>
                <w:sz w:val="16"/>
                <w:szCs w:val="16"/>
                <w:color w:val="auto"/>
              </w:rPr>
            </w:pPr>
          </w:p>
        </w:tc>
        <w:tc>
          <w:tcPr>
            <w:tcW w:w="9820" w:type="dxa"/>
            <w:vAlign w:val="bottom"/>
          </w:tcPr>
          <w:p>
            <w:pPr>
              <w:ind w:left="240"/>
              <w:spacing w:after="0"/>
              <w:rPr>
                <w:sz w:val="20"/>
                <w:szCs w:val="20"/>
                <w:color w:val="auto"/>
              </w:rPr>
            </w:pPr>
            <w:r>
              <w:rPr>
                <w:rFonts w:ascii="Arial" w:cs="Arial" w:eastAsia="Arial" w:hAnsi="Arial"/>
                <w:sz w:val="16"/>
                <w:szCs w:val="16"/>
                <w:color w:val="auto"/>
              </w:rPr>
              <w:t>Pharmaceuticals, Inc. and Juno Therapeutics, Inc., and previously served on the board of directors of Pfizer Inc. Dr. Tessier-</w:t>
            </w: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9820" w:type="dxa"/>
            <w:vAlign w:val="bottom"/>
          </w:tcPr>
          <w:p>
            <w:pPr>
              <w:ind w:left="240"/>
              <w:spacing w:after="0"/>
              <w:rPr>
                <w:sz w:val="20"/>
                <w:szCs w:val="20"/>
                <w:color w:val="auto"/>
              </w:rPr>
            </w:pPr>
            <w:r>
              <w:rPr>
                <w:rFonts w:ascii="Arial" w:cs="Arial" w:eastAsia="Arial" w:hAnsi="Arial"/>
                <w:sz w:val="16"/>
                <w:szCs w:val="16"/>
                <w:color w:val="auto"/>
              </w:rPr>
              <w:t>Lavigne's distinguished scientific and academic background, and his significant industry experience, including experience in senior</w:t>
            </w: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2011</w:t>
            </w:r>
          </w:p>
        </w:tc>
        <w:tc>
          <w:tcPr>
            <w:tcW w:w="9820" w:type="dxa"/>
            <w:vAlign w:val="bottom"/>
          </w:tcPr>
          <w:p>
            <w:pPr>
              <w:ind w:left="240"/>
              <w:spacing w:after="0"/>
              <w:rPr>
                <w:sz w:val="20"/>
                <w:szCs w:val="20"/>
                <w:color w:val="auto"/>
              </w:rPr>
            </w:pPr>
            <w:r>
              <w:rPr>
                <w:rFonts w:ascii="Arial" w:cs="Arial" w:eastAsia="Arial" w:hAnsi="Arial"/>
                <w:sz w:val="16"/>
                <w:szCs w:val="16"/>
                <w:color w:val="auto"/>
              </w:rPr>
              <w:t>scientific leadership roles at a leading biopharmaceutical company, led the board to conclude that Dr. Tessier-Lavigne should serve</w:t>
            </w: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Age: 56</w:t>
            </w:r>
          </w:p>
        </w:tc>
        <w:tc>
          <w:tcPr>
            <w:tcW w:w="9820" w:type="dxa"/>
            <w:vAlign w:val="bottom"/>
          </w:tcPr>
          <w:p>
            <w:pPr>
              <w:ind w:left="240"/>
              <w:spacing w:after="0"/>
              <w:rPr>
                <w:sz w:val="20"/>
                <w:szCs w:val="20"/>
                <w:color w:val="auto"/>
              </w:rPr>
            </w:pPr>
            <w:r>
              <w:rPr>
                <w:rFonts w:ascii="Arial" w:cs="Arial" w:eastAsia="Arial" w:hAnsi="Arial"/>
                <w:sz w:val="16"/>
                <w:szCs w:val="16"/>
                <w:color w:val="auto"/>
              </w:rPr>
              <w:t>as a director.</w:t>
            </w: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98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42620" cy="1930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121920</wp:posOffset>
            </wp:positionV>
            <wp:extent cx="8255" cy="1930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81" w:lineRule="exact"/>
        <w:rPr>
          <w:sz w:val="20"/>
          <w:szCs w:val="20"/>
          <w:color w:val="auto"/>
        </w:rPr>
      </w:pPr>
    </w:p>
    <w:p>
      <w:pPr>
        <w:ind w:left="1160" w:hanging="744"/>
        <w:spacing w:after="0"/>
        <w:tabs>
          <w:tab w:leader="none" w:pos="1160" w:val="left"/>
        </w:tabs>
        <w:numPr>
          <w:ilvl w:val="0"/>
          <w:numId w:val="2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20"/>
          </w:cols>
          <w:pgMar w:left="240" w:top="142" w:right="5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Corporate Governance</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Overview</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Regeneron is committed to good corporate governance, which we believe promotes the long-term interests of shareholders, strengthens the accountability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and management, and helps build trust in the Company. The following chart summarizes key information regarding our corporate governance.</w:t>
      </w:r>
    </w:p>
    <w:p>
      <w:pPr>
        <w:spacing w:after="0" w:line="394"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00" w:type="dxa"/>
            <w:vAlign w:val="bottom"/>
            <w:gridSpan w:val="2"/>
            <w:shd w:val="clear" w:color="auto" w:fill="5668B0"/>
          </w:tcPr>
          <w:p>
            <w:pPr>
              <w:spacing w:after="0"/>
              <w:rPr>
                <w:sz w:val="20"/>
                <w:szCs w:val="20"/>
                <w:color w:val="auto"/>
              </w:rPr>
            </w:pPr>
            <w:r>
              <w:rPr>
                <w:rFonts w:ascii="Arial" w:cs="Arial" w:eastAsia="Arial" w:hAnsi="Arial"/>
                <w:sz w:val="13"/>
                <w:szCs w:val="13"/>
                <w:color w:val="FFFFFE"/>
              </w:rPr>
              <w:t>Board and Other Governance Information</w:t>
            </w:r>
          </w:p>
        </w:tc>
        <w:tc>
          <w:tcPr>
            <w:tcW w:w="2620" w:type="dxa"/>
            <w:vAlign w:val="bottom"/>
            <w:shd w:val="clear" w:color="auto" w:fill="5668B0"/>
          </w:tcPr>
          <w:p>
            <w:pPr>
              <w:jc w:val="center"/>
              <w:ind w:left="2159"/>
              <w:spacing w:after="0"/>
              <w:rPr>
                <w:sz w:val="20"/>
                <w:szCs w:val="20"/>
                <w:color w:val="auto"/>
              </w:rPr>
            </w:pPr>
            <w:r>
              <w:rPr>
                <w:rFonts w:ascii="Arial" w:cs="Arial" w:eastAsia="Arial" w:hAnsi="Arial"/>
                <w:sz w:val="13"/>
                <w:szCs w:val="13"/>
                <w:color w:val="FFFFFE"/>
              </w:rPr>
              <w:t>2016</w:t>
            </w:r>
            <w:r>
              <w:rPr>
                <w:rFonts w:ascii="Arial" w:cs="Arial" w:eastAsia="Arial" w:hAnsi="Arial"/>
                <w:sz w:val="10"/>
                <w:szCs w:val="10"/>
                <w:color w:val="FFFFFE"/>
              </w:rPr>
              <w:t>*</w:t>
            </w:r>
          </w:p>
        </w:tc>
      </w:tr>
      <w:tr>
        <w:trPr>
          <w:trHeight w:val="190"/>
        </w:trPr>
        <w:tc>
          <w:tcPr>
            <w:tcW w:w="88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Size of Board</w:t>
            </w:r>
          </w:p>
        </w:tc>
        <w:tc>
          <w:tcPr>
            <w:tcW w:w="2620" w:type="dxa"/>
            <w:vAlign w:val="bottom"/>
            <w:shd w:val="clear" w:color="auto" w:fill="E6ECF8"/>
          </w:tcPr>
          <w:p>
            <w:pPr>
              <w:jc w:val="center"/>
              <w:ind w:left="2159"/>
              <w:spacing w:after="0"/>
              <w:rPr>
                <w:sz w:val="20"/>
                <w:szCs w:val="20"/>
                <w:color w:val="auto"/>
              </w:rPr>
            </w:pPr>
            <w:r>
              <w:rPr>
                <w:rFonts w:ascii="Arial" w:cs="Arial" w:eastAsia="Arial" w:hAnsi="Arial"/>
                <w:sz w:val="16"/>
                <w:szCs w:val="16"/>
                <w:color w:val="auto"/>
              </w:rPr>
              <w:t>10</w:t>
            </w:r>
          </w:p>
        </w:tc>
      </w:tr>
      <w:tr>
        <w:trPr>
          <w:trHeight w:val="354"/>
        </w:trPr>
        <w:tc>
          <w:tcPr>
            <w:tcW w:w="88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Number of Independent Directors</w:t>
            </w:r>
          </w:p>
        </w:tc>
        <w:tc>
          <w:tcPr>
            <w:tcW w:w="2620" w:type="dxa"/>
            <w:vAlign w:val="bottom"/>
            <w:shd w:val="clear" w:color="auto" w:fill="D0DBEF"/>
          </w:tcPr>
          <w:p>
            <w:pPr>
              <w:jc w:val="center"/>
              <w:ind w:left="2159"/>
              <w:spacing w:after="0"/>
              <w:rPr>
                <w:sz w:val="20"/>
                <w:szCs w:val="20"/>
                <w:color w:val="auto"/>
              </w:rPr>
            </w:pPr>
            <w:r>
              <w:rPr>
                <w:rFonts w:ascii="Arial" w:cs="Arial" w:eastAsia="Arial" w:hAnsi="Arial"/>
                <w:sz w:val="16"/>
                <w:szCs w:val="16"/>
                <w:color w:val="auto"/>
              </w:rPr>
              <w:t>7</w:t>
            </w:r>
          </w:p>
        </w:tc>
      </w:tr>
      <w:tr>
        <w:trPr>
          <w:trHeight w:val="367"/>
        </w:trPr>
        <w:tc>
          <w:tcPr>
            <w:tcW w:w="88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Separate Chairman and Chief Executive Officer</w:t>
            </w:r>
          </w:p>
        </w:tc>
        <w:tc>
          <w:tcPr>
            <w:tcW w:w="2620" w:type="dxa"/>
            <w:vAlign w:val="bottom"/>
            <w:shd w:val="clear" w:color="auto" w:fill="E6ECF8"/>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67"/>
        </w:trPr>
        <w:tc>
          <w:tcPr>
            <w:tcW w:w="88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Majority Voting in the Election of Directors</w:t>
            </w:r>
          </w:p>
        </w:tc>
        <w:tc>
          <w:tcPr>
            <w:tcW w:w="2620" w:type="dxa"/>
            <w:vAlign w:val="bottom"/>
            <w:shd w:val="clear" w:color="auto" w:fill="D0DBEF"/>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67"/>
        </w:trPr>
        <w:tc>
          <w:tcPr>
            <w:tcW w:w="88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Director Resignation Policy</w:t>
            </w:r>
          </w:p>
        </w:tc>
        <w:tc>
          <w:tcPr>
            <w:tcW w:w="2620" w:type="dxa"/>
            <w:vAlign w:val="bottom"/>
            <w:shd w:val="clear" w:color="auto" w:fill="E6ECF8"/>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54"/>
        </w:trPr>
        <w:tc>
          <w:tcPr>
            <w:tcW w:w="88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Number of Meetings of the Board of Directors Held in 2015</w:t>
            </w:r>
          </w:p>
        </w:tc>
        <w:tc>
          <w:tcPr>
            <w:tcW w:w="2620" w:type="dxa"/>
            <w:vAlign w:val="bottom"/>
            <w:shd w:val="clear" w:color="auto" w:fill="D0DBEF"/>
          </w:tcPr>
          <w:p>
            <w:pPr>
              <w:jc w:val="center"/>
              <w:ind w:left="2159"/>
              <w:spacing w:after="0"/>
              <w:rPr>
                <w:sz w:val="20"/>
                <w:szCs w:val="20"/>
                <w:color w:val="auto"/>
              </w:rPr>
            </w:pPr>
            <w:r>
              <w:rPr>
                <w:rFonts w:ascii="Arial" w:cs="Arial" w:eastAsia="Arial" w:hAnsi="Arial"/>
                <w:sz w:val="16"/>
                <w:szCs w:val="16"/>
                <w:color w:val="auto"/>
              </w:rPr>
              <w:t>7</w:t>
            </w:r>
          </w:p>
        </w:tc>
      </w:tr>
      <w:tr>
        <w:trPr>
          <w:trHeight w:val="367"/>
        </w:trPr>
        <w:tc>
          <w:tcPr>
            <w:tcW w:w="88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Independent Directors Meet in Executive Sessions Without Management Present</w:t>
            </w:r>
          </w:p>
        </w:tc>
        <w:tc>
          <w:tcPr>
            <w:tcW w:w="2620" w:type="dxa"/>
            <w:vAlign w:val="bottom"/>
            <w:shd w:val="clear" w:color="auto" w:fill="E6ECF8"/>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67"/>
        </w:trPr>
        <w:tc>
          <w:tcPr>
            <w:tcW w:w="88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Code of Business Conduct and Ethics Applicable to All Employees, Officers, and Directors</w:t>
            </w:r>
          </w:p>
        </w:tc>
        <w:tc>
          <w:tcPr>
            <w:tcW w:w="2620" w:type="dxa"/>
            <w:vAlign w:val="bottom"/>
            <w:shd w:val="clear" w:color="auto" w:fill="D0DBEF"/>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67"/>
        </w:trPr>
        <w:tc>
          <w:tcPr>
            <w:tcW w:w="88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Annual Board and Committee Self-Evaluations</w:t>
            </w:r>
          </w:p>
        </w:tc>
        <w:tc>
          <w:tcPr>
            <w:tcW w:w="2620" w:type="dxa"/>
            <w:vAlign w:val="bottom"/>
            <w:shd w:val="clear" w:color="auto" w:fill="E6ECF8"/>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67"/>
        </w:trPr>
        <w:tc>
          <w:tcPr>
            <w:tcW w:w="88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Stock Ownership Guidelines for Directors and Senior Executives</w:t>
            </w:r>
          </w:p>
        </w:tc>
        <w:tc>
          <w:tcPr>
            <w:tcW w:w="2620" w:type="dxa"/>
            <w:vAlign w:val="bottom"/>
            <w:shd w:val="clear" w:color="auto" w:fill="D0DBEF"/>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67"/>
        </w:trPr>
        <w:tc>
          <w:tcPr>
            <w:tcW w:w="88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Active Shareholder Engagement</w:t>
            </w:r>
          </w:p>
        </w:tc>
        <w:tc>
          <w:tcPr>
            <w:tcW w:w="2620" w:type="dxa"/>
            <w:vAlign w:val="bottom"/>
            <w:shd w:val="clear" w:color="auto" w:fill="E6ECF8"/>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67"/>
        </w:trPr>
        <w:tc>
          <w:tcPr>
            <w:tcW w:w="88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Shareholder Right to Remove Directors for Cause</w:t>
            </w:r>
          </w:p>
        </w:tc>
        <w:tc>
          <w:tcPr>
            <w:tcW w:w="2620" w:type="dxa"/>
            <w:vAlign w:val="bottom"/>
            <w:shd w:val="clear" w:color="auto" w:fill="D0DBEF"/>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367"/>
        </w:trPr>
        <w:tc>
          <w:tcPr>
            <w:tcW w:w="8800" w:type="dxa"/>
            <w:vAlign w:val="bottom"/>
            <w:tcBorders>
              <w:bottom w:val="single" w:sz="8" w:color="auto"/>
            </w:tcBorders>
            <w:gridSpan w:val="2"/>
            <w:shd w:val="clear" w:color="auto" w:fill="E6ECF8"/>
          </w:tcPr>
          <w:p>
            <w:pPr>
              <w:spacing w:after="0"/>
              <w:rPr>
                <w:sz w:val="20"/>
                <w:szCs w:val="20"/>
                <w:color w:val="auto"/>
              </w:rPr>
            </w:pPr>
            <w:r>
              <w:rPr>
                <w:rFonts w:ascii="Arial" w:cs="Arial" w:eastAsia="Arial" w:hAnsi="Arial"/>
                <w:sz w:val="16"/>
                <w:szCs w:val="16"/>
                <w:color w:val="auto"/>
              </w:rPr>
              <w:t>Shareholder Right to Call Special Shareholder Meeting</w:t>
            </w:r>
          </w:p>
        </w:tc>
        <w:tc>
          <w:tcPr>
            <w:tcW w:w="2620" w:type="dxa"/>
            <w:vAlign w:val="bottom"/>
            <w:tcBorders>
              <w:bottom w:val="single" w:sz="8" w:color="auto"/>
            </w:tcBorders>
            <w:shd w:val="clear" w:color="auto" w:fill="E6ECF8"/>
          </w:tcPr>
          <w:p>
            <w:pPr>
              <w:jc w:val="center"/>
              <w:ind w:left="2139"/>
              <w:spacing w:after="0"/>
              <w:rPr>
                <w:sz w:val="20"/>
                <w:szCs w:val="20"/>
                <w:color w:val="auto"/>
              </w:rPr>
            </w:pPr>
            <w:r>
              <w:rPr>
                <w:rFonts w:ascii="Arial" w:cs="Arial" w:eastAsia="Arial" w:hAnsi="Arial"/>
                <w:sz w:val="16"/>
                <w:szCs w:val="16"/>
                <w:color w:val="auto"/>
                <w:w w:val="89"/>
              </w:rPr>
              <w:t>ü</w:t>
            </w:r>
          </w:p>
        </w:tc>
      </w:tr>
      <w:tr>
        <w:trPr>
          <w:trHeight w:val="408"/>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8520" w:type="dxa"/>
            <w:vAlign w:val="bottom"/>
          </w:tcPr>
          <w:p>
            <w:pPr>
              <w:ind w:left="220"/>
              <w:spacing w:after="0"/>
              <w:rPr>
                <w:sz w:val="20"/>
                <w:szCs w:val="20"/>
                <w:color w:val="auto"/>
              </w:rPr>
            </w:pPr>
            <w:r>
              <w:rPr>
                <w:rFonts w:ascii="Arial" w:cs="Arial" w:eastAsia="Arial" w:hAnsi="Arial"/>
                <w:sz w:val="16"/>
                <w:szCs w:val="16"/>
                <w:color w:val="auto"/>
              </w:rPr>
              <w:t>As of April 14, 2016.</w:t>
            </w:r>
          </w:p>
        </w:tc>
        <w:tc>
          <w:tcPr>
            <w:tcW w:w="26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Procedures Relating to Nominees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The Corporate Governance and Compliance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6"/>
          <w:szCs w:val="16"/>
          <w:i w:val="1"/>
          <w:iCs w:val="1"/>
          <w:color w:val="auto"/>
        </w:rPr>
        <w:t xml:space="preserve">www.regeneron.com </w:t>
      </w:r>
      <w:r>
        <w:rPr>
          <w:rFonts w:ascii="Arial" w:cs="Arial" w:eastAsia="Arial" w:hAnsi="Arial"/>
          <w:sz w:val="16"/>
          <w:szCs w:val="16"/>
          <w:color w:val="auto"/>
        </w:rPr>
        <w:t>under the "Corporate Governance" heading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&amp; Media" page.</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w:t>
      </w:r>
    </w:p>
    <w:p>
      <w:pPr>
        <w:spacing w:after="0" w:line="3" w:lineRule="exact"/>
        <w:rPr>
          <w:sz w:val="20"/>
          <w:szCs w:val="20"/>
          <w:color w:val="auto"/>
        </w:rPr>
      </w:pPr>
    </w:p>
    <w:p>
      <w:pPr>
        <w:jc w:val="both"/>
        <w:ind w:right="20" w:firstLine="1"/>
        <w:spacing w:after="0" w:line="250" w:lineRule="auto"/>
        <w:tabs>
          <w:tab w:leader="none" w:pos="2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the ability to exercise sound business 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19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Candidates for director are reviewed in the context of the current composition of the board of directors, the operating requirements of the Company, and the long-term interests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38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Corporate Governance and Compliance Committee may employ a variety of methods for identifying and evaluating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367665</wp:posOffset>
            </wp:positionV>
            <wp:extent cx="642620" cy="1930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1174115</wp:posOffset>
            </wp:positionH>
            <wp:positionV relativeFrom="paragraph">
              <wp:posOffset>367665</wp:posOffset>
            </wp:positionV>
            <wp:extent cx="8255" cy="1930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394"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218" w:lineRule="exact"/>
        <w:rPr>
          <w:sz w:val="20"/>
          <w:szCs w:val="20"/>
          <w:color w:val="auto"/>
        </w:rPr>
      </w:pPr>
    </w:p>
    <w:p>
      <w:pPr>
        <w:ind w:left="8580"/>
        <w:spacing w:after="0"/>
        <w:tabs>
          <w:tab w:leader="none" w:pos="10800" w:val="left"/>
        </w:tabs>
        <w:rPr>
          <w:sz w:val="20"/>
          <w:szCs w:val="20"/>
          <w:color w:val="auto"/>
        </w:rPr>
      </w:pPr>
      <w:r>
        <w:rPr>
          <w:rFonts w:ascii="Arial" w:cs="Arial" w:eastAsia="Arial" w:hAnsi="Arial"/>
          <w:sz w:val="16"/>
          <w:szCs w:val="16"/>
          <w:color w:val="183394"/>
        </w:rPr>
        <w:t>Corporate Governance</w:t>
      </w:r>
      <w:r>
        <w:rPr>
          <w:sz w:val="20"/>
          <w:szCs w:val="20"/>
          <w:color w:val="auto"/>
        </w:rPr>
        <w:tab/>
      </w:r>
      <w:r>
        <w:rPr>
          <w:rFonts w:ascii="Arial" w:cs="Arial" w:eastAsia="Arial" w:hAnsi="Arial"/>
          <w:sz w:val="26"/>
          <w:szCs w:val="26"/>
          <w:b w:val="1"/>
          <w:bCs w:val="1"/>
          <w:color w:val="FFFFFF"/>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725995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36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5668B0"/>
        </w:rPr>
        <w:t>Shareholder Rights to Remove Directors for Cause and to Call Special Shareholder Meeting</w:t>
      </w:r>
    </w:p>
    <w:p>
      <w:pPr>
        <w:spacing w:after="0" w:line="157" w:lineRule="exact"/>
        <w:rPr>
          <w:sz w:val="20"/>
          <w:szCs w:val="20"/>
          <w:color w:val="auto"/>
        </w:rPr>
      </w:pPr>
    </w:p>
    <w:p>
      <w:pPr>
        <w:spacing w:after="0"/>
        <w:tabs>
          <w:tab w:leader="none" w:pos="1060" w:val="left"/>
          <w:tab w:leader="none" w:pos="1740" w:val="left"/>
          <w:tab w:leader="none" w:pos="2700" w:val="left"/>
          <w:tab w:leader="none" w:pos="3160" w:val="left"/>
          <w:tab w:leader="none" w:pos="4260" w:val="left"/>
          <w:tab w:leader="none" w:pos="4660" w:val="left"/>
          <w:tab w:leader="none" w:pos="5220" w:val="left"/>
        </w:tabs>
        <w:rPr>
          <w:sz w:val="20"/>
          <w:szCs w:val="20"/>
          <w:color w:val="auto"/>
        </w:rPr>
      </w:pPr>
      <w:r>
        <w:rPr>
          <w:rFonts w:ascii="Arial" w:cs="Arial" w:eastAsia="Arial" w:hAnsi="Arial"/>
          <w:sz w:val="16"/>
          <w:szCs w:val="16"/>
          <w:color w:val="auto"/>
        </w:rPr>
        <w:t>Regeneron's</w:t>
        <w:tab/>
        <w:t>charter</w:t>
        <w:tab/>
        <w:t>documents</w:t>
        <w:tab/>
        <w:t>give</w:t>
        <w:tab/>
        <w:t>shareholders</w:t>
        <w:tab/>
        <w:t>the</w:t>
        <w:tab/>
        <w:t>rights</w:t>
        <w:tab/>
        <w:t>to</w:t>
      </w:r>
    </w:p>
    <w:p>
      <w:pPr>
        <w:spacing w:after="0" w:line="6" w:lineRule="exact"/>
        <w:rPr>
          <w:sz w:val="20"/>
          <w:szCs w:val="20"/>
          <w:color w:val="auto"/>
        </w:rPr>
      </w:pPr>
    </w:p>
    <w:p>
      <w:pPr>
        <w:jc w:val="both"/>
        <w:ind w:right="20" w:firstLine="1"/>
        <w:spacing w:after="0" w:line="251" w:lineRule="auto"/>
        <w:tabs>
          <w:tab w:leader="none" w:pos="1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remove directors for cause by an affirmative vote of at least 80% of the outstanding shares of all classes of capital stock entitled to vote for directors; and (ii) call a special shareholder meeting upon the written request of at least 25% of the total number of votes entitled to be cast by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Shareholder Communications with Directors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642620" cy="1930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367665</wp:posOffset>
            </wp:positionV>
            <wp:extent cx="8255" cy="1930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160" w:hanging="744"/>
        <w:spacing w:after="0"/>
        <w:tabs>
          <w:tab w:leader="none" w:pos="1160" w:val="left"/>
        </w:tabs>
        <w:numPr>
          <w:ilvl w:val="0"/>
          <w:numId w:val="2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Board Committees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board has a standing Audit Committee established in accordance with Section 3(a)(58)(A) of the Securities Exchange Act of 1934, as amended (the "Exchange Act"), a Compensation Committee, and a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xml:space="preserve"> under the "Corporate Governance" heading on the "Investors &amp; Media"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1005205</wp:posOffset>
            </wp:positionV>
            <wp:extent cx="725995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130175</wp:posOffset>
            </wp:positionV>
            <wp:extent cx="7118350" cy="578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8350" cy="5784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3"/>
          <w:szCs w:val="13"/>
          <w:color w:val="FFFFFE"/>
        </w:rPr>
        <w:t>Name of Committee and Members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AUDIT</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George L. Sing, </w:t>
      </w:r>
      <w:r>
        <w:rPr>
          <w:rFonts w:ascii="Arial" w:cs="Arial" w:eastAsia="Arial" w:hAnsi="Arial"/>
          <w:sz w:val="16"/>
          <w:szCs w:val="16"/>
          <w:i w:val="1"/>
          <w:iCs w:val="1"/>
          <w:color w:val="auto"/>
        </w:rPr>
        <w:t>Chairman</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Arthur F. Ryan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FFFFFE"/>
        </w:rPr>
        <w:t>Number of</w:t>
      </w:r>
    </w:p>
    <w:p>
      <w:pPr>
        <w:spacing w:after="0" w:line="2"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FFFFFE"/>
        </w:rPr>
        <w:t>Meetings</w:t>
      </w:r>
    </w:p>
    <w:p>
      <w:pPr>
        <w:spacing w:after="0" w:line="2" w:lineRule="exact"/>
        <w:rPr>
          <w:sz w:val="20"/>
          <w:szCs w:val="20"/>
          <w:color w:val="auto"/>
        </w:rPr>
      </w:pPr>
    </w:p>
    <w:p>
      <w:pPr>
        <w:ind w:left="7"/>
        <w:spacing w:after="0"/>
        <w:tabs>
          <w:tab w:leader="none" w:pos="5307" w:val="left"/>
        </w:tabs>
        <w:rPr>
          <w:sz w:val="20"/>
          <w:szCs w:val="20"/>
          <w:color w:val="auto"/>
        </w:rPr>
      </w:pPr>
      <w:r>
        <w:rPr>
          <w:rFonts w:ascii="Arial" w:cs="Arial" w:eastAsia="Arial" w:hAnsi="Arial"/>
          <w:sz w:val="13"/>
          <w:szCs w:val="13"/>
          <w:color w:val="FFFFFE"/>
        </w:rPr>
        <w:t>Key Functions of the Committee</w:t>
      </w:r>
      <w:r>
        <w:rPr>
          <w:sz w:val="20"/>
          <w:szCs w:val="20"/>
          <w:color w:val="auto"/>
        </w:rPr>
        <w:tab/>
      </w:r>
      <w:r>
        <w:rPr>
          <w:rFonts w:ascii="Arial" w:cs="Arial" w:eastAsia="Arial" w:hAnsi="Arial"/>
          <w:sz w:val="13"/>
          <w:szCs w:val="13"/>
          <w:color w:val="FFFFFE"/>
        </w:rPr>
        <w:t>Held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95250</wp:posOffset>
            </wp:positionV>
            <wp:extent cx="7118350" cy="5776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8350" cy="5776595"/>
                    </a:xfrm>
                    <a:prstGeom prst="rect">
                      <a:avLst/>
                    </a:prstGeom>
                    <a:noFill/>
                  </pic:spPr>
                </pic:pic>
              </a:graphicData>
            </a:graphic>
          </wp:anchor>
        </w:drawing>
      </w:r>
    </w:p>
    <w:p>
      <w:pPr>
        <w:spacing w:after="0" w:line="310" w:lineRule="exact"/>
        <w:rPr>
          <w:sz w:val="20"/>
          <w:szCs w:val="20"/>
          <w:color w:val="auto"/>
        </w:rPr>
      </w:pPr>
    </w:p>
    <w:p>
      <w:pPr>
        <w:ind w:left="7"/>
        <w:spacing w:after="0"/>
        <w:rPr>
          <w:sz w:val="20"/>
          <w:szCs w:val="20"/>
          <w:color w:val="auto"/>
        </w:rPr>
      </w:pPr>
      <w:r>
        <w:rPr>
          <w:rFonts w:ascii="Arial" w:cs="Arial" w:eastAsia="Arial" w:hAnsi="Arial"/>
          <w:sz w:val="16"/>
          <w:szCs w:val="16"/>
          <w:color w:val="5668B0"/>
        </w:rPr>
        <w:t xml:space="preserve">• </w:t>
      </w:r>
      <w:r>
        <w:rPr>
          <w:rFonts w:ascii="Arial" w:cs="Arial" w:eastAsia="Arial" w:hAnsi="Arial"/>
          <w:sz w:val="16"/>
          <w:szCs w:val="16"/>
          <w:color w:val="000000"/>
        </w:rPr>
        <w:t>Select the independent registered public accounting firm,</w:t>
      </w:r>
    </w:p>
    <w:p>
      <w:pPr>
        <w:ind w:left="147"/>
        <w:spacing w:after="0" w:line="238" w:lineRule="auto"/>
        <w:tabs>
          <w:tab w:leader="none" w:pos="5887" w:val="left"/>
        </w:tabs>
        <w:rPr>
          <w:sz w:val="20"/>
          <w:szCs w:val="20"/>
          <w:color w:val="auto"/>
        </w:rPr>
      </w:pPr>
      <w:r>
        <w:rPr>
          <w:rFonts w:ascii="Arial" w:cs="Arial" w:eastAsia="Arial" w:hAnsi="Arial"/>
          <w:sz w:val="16"/>
          <w:szCs w:val="16"/>
          <w:color w:val="auto"/>
        </w:rPr>
        <w:t>review and approve its engagement letter, and monitor its</w:t>
      </w:r>
      <w:r>
        <w:rPr>
          <w:sz w:val="20"/>
          <w:szCs w:val="20"/>
          <w:color w:val="auto"/>
        </w:rPr>
        <w:tab/>
      </w:r>
      <w:r>
        <w:rPr>
          <w:rFonts w:ascii="Arial" w:cs="Arial" w:eastAsia="Arial" w:hAnsi="Arial"/>
          <w:sz w:val="16"/>
          <w:szCs w:val="16"/>
          <w:color w:val="auto"/>
        </w:rPr>
        <w:t>10</w:t>
      </w:r>
    </w:p>
    <w:p>
      <w:pPr>
        <w:spacing w:after="0" w:line="6" w:lineRule="exact"/>
        <w:rPr>
          <w:sz w:val="20"/>
          <w:szCs w:val="20"/>
          <w:color w:val="auto"/>
        </w:rPr>
      </w:pPr>
    </w:p>
    <w:p>
      <w:pPr>
        <w:ind w:left="147"/>
        <w:spacing w:after="0"/>
        <w:rPr>
          <w:sz w:val="20"/>
          <w:szCs w:val="20"/>
          <w:color w:val="auto"/>
        </w:rPr>
      </w:pPr>
      <w:r>
        <w:rPr>
          <w:rFonts w:ascii="Arial" w:cs="Arial" w:eastAsia="Arial" w:hAnsi="Arial"/>
          <w:sz w:val="16"/>
          <w:szCs w:val="16"/>
          <w:color w:val="auto"/>
        </w:rPr>
        <w:t>independence and performance.</w:t>
      </w:r>
    </w:p>
    <w:p>
      <w:pPr>
        <w:spacing w:after="0" w:line="196" w:lineRule="exact"/>
        <w:rPr>
          <w:sz w:val="20"/>
          <w:szCs w:val="20"/>
          <w:color w:val="auto"/>
        </w:rPr>
      </w:pPr>
    </w:p>
    <w:p>
      <w:pPr>
        <w:ind w:left="147" w:right="1900" w:hanging="147"/>
        <w:spacing w:after="0" w:line="264"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Review the overall scope and plans for the annual audit by the independent registered public accounting firm.</w:t>
      </w:r>
    </w:p>
    <w:p>
      <w:pPr>
        <w:spacing w:after="0" w:line="164" w:lineRule="exact"/>
        <w:rPr>
          <w:rFonts w:ascii="Arial" w:cs="Arial" w:eastAsia="Arial" w:hAnsi="Arial"/>
          <w:sz w:val="16"/>
          <w:szCs w:val="16"/>
          <w:color w:val="5668B0"/>
        </w:rPr>
      </w:pPr>
    </w:p>
    <w:p>
      <w:pPr>
        <w:ind w:left="147" w:right="1840" w:hanging="147"/>
        <w:spacing w:after="0" w:line="253"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Approve performance of non-audit services by the independent registered public accounting firm and evaluate the performance and independence of the independent registered public accounting firm.</w:t>
      </w:r>
    </w:p>
    <w:p>
      <w:pPr>
        <w:spacing w:after="0" w:line="173" w:lineRule="exact"/>
        <w:rPr>
          <w:rFonts w:ascii="Arial" w:cs="Arial" w:eastAsia="Arial" w:hAnsi="Arial"/>
          <w:sz w:val="16"/>
          <w:szCs w:val="16"/>
          <w:color w:val="5668B0"/>
        </w:rPr>
      </w:pPr>
    </w:p>
    <w:p>
      <w:pPr>
        <w:ind w:left="147" w:right="2240" w:hanging="147"/>
        <w:spacing w:after="0" w:line="264"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Review and approve the Company's periodic financial statements and the results of the year-end audit.</w:t>
      </w:r>
    </w:p>
    <w:p>
      <w:pPr>
        <w:spacing w:after="0" w:line="164" w:lineRule="exact"/>
        <w:rPr>
          <w:rFonts w:ascii="Arial" w:cs="Arial" w:eastAsia="Arial" w:hAnsi="Arial"/>
          <w:sz w:val="16"/>
          <w:szCs w:val="16"/>
          <w:color w:val="5668B0"/>
        </w:rPr>
      </w:pPr>
    </w:p>
    <w:p>
      <w:pPr>
        <w:ind w:left="147" w:right="1880" w:hanging="147"/>
        <w:spacing w:after="0" w:line="255"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Review and discuss the adequacy and effectiveness of the Company's accounting and internal control policies and procedures.</w:t>
      </w:r>
    </w:p>
    <w:p>
      <w:pPr>
        <w:spacing w:after="0" w:line="172" w:lineRule="exact"/>
        <w:rPr>
          <w:rFonts w:ascii="Arial" w:cs="Arial" w:eastAsia="Arial" w:hAnsi="Arial"/>
          <w:sz w:val="16"/>
          <w:szCs w:val="16"/>
          <w:color w:val="5668B0"/>
        </w:rPr>
      </w:pPr>
    </w:p>
    <w:p>
      <w:pPr>
        <w:ind w:left="147" w:right="1660" w:hanging="147"/>
        <w:spacing w:after="0" w:line="251"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176" w:lineRule="exact"/>
        <w:rPr>
          <w:rFonts w:ascii="Arial" w:cs="Arial" w:eastAsia="Arial" w:hAnsi="Arial"/>
          <w:sz w:val="16"/>
          <w:szCs w:val="16"/>
          <w:color w:val="5668B0"/>
        </w:rPr>
      </w:pPr>
    </w:p>
    <w:p>
      <w:pPr>
        <w:ind w:left="147" w:right="1860" w:hanging="147"/>
        <w:spacing w:after="0" w:line="255"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Review the independent registered public accounting firm's recommendations concerning the Company's financial practices and procedures.</w:t>
      </w:r>
    </w:p>
    <w:p>
      <w:pPr>
        <w:spacing w:after="0" w:line="172" w:lineRule="exact"/>
        <w:rPr>
          <w:rFonts w:ascii="Arial" w:cs="Arial" w:eastAsia="Arial" w:hAnsi="Arial"/>
          <w:sz w:val="16"/>
          <w:szCs w:val="16"/>
          <w:color w:val="5668B0"/>
        </w:rPr>
      </w:pPr>
    </w:p>
    <w:p>
      <w:pPr>
        <w:ind w:left="147" w:right="1640" w:hanging="147"/>
        <w:spacing w:after="0" w:line="251"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366" w:lineRule="exact"/>
        <w:rPr>
          <w:rFonts w:ascii="Arial" w:cs="Arial" w:eastAsia="Arial" w:hAnsi="Arial"/>
          <w:sz w:val="16"/>
          <w:szCs w:val="16"/>
          <w:color w:val="5668B0"/>
        </w:rPr>
      </w:pPr>
    </w:p>
    <w:p>
      <w:pPr>
        <w:ind w:left="147" w:hanging="147"/>
        <w:spacing w:after="0"/>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Review and approve any related person transaction.</w:t>
      </w:r>
    </w:p>
    <w:p>
      <w:pPr>
        <w:spacing w:after="0" w:line="195" w:lineRule="exact"/>
        <w:rPr>
          <w:rFonts w:ascii="Arial" w:cs="Arial" w:eastAsia="Arial" w:hAnsi="Arial"/>
          <w:sz w:val="16"/>
          <w:szCs w:val="16"/>
          <w:color w:val="5668B0"/>
        </w:rPr>
      </w:pPr>
    </w:p>
    <w:p>
      <w:pPr>
        <w:ind w:left="147" w:right="1680" w:hanging="147"/>
        <w:spacing w:after="0" w:line="255"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Prepare an annual report of the Audit Committee for inclusion in the proxy statement and annually evaluate the Audit Committee Charter.</w:t>
      </w:r>
    </w:p>
    <w:p>
      <w:pPr>
        <w:spacing w:after="0" w:line="172" w:lineRule="exact"/>
        <w:rPr>
          <w:rFonts w:ascii="Arial" w:cs="Arial" w:eastAsia="Arial" w:hAnsi="Arial"/>
          <w:sz w:val="16"/>
          <w:szCs w:val="16"/>
          <w:color w:val="5668B0"/>
        </w:rPr>
      </w:pPr>
    </w:p>
    <w:p>
      <w:pPr>
        <w:ind w:left="147" w:hanging="147"/>
        <w:spacing w:after="0"/>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Oversee the Company's risk management program.</w:t>
      </w:r>
    </w:p>
    <w:p>
      <w:pPr>
        <w:spacing w:after="0" w:line="195" w:lineRule="exact"/>
        <w:rPr>
          <w:rFonts w:ascii="Arial" w:cs="Arial" w:eastAsia="Arial" w:hAnsi="Arial"/>
          <w:sz w:val="16"/>
          <w:szCs w:val="16"/>
          <w:color w:val="5668B0"/>
        </w:rPr>
      </w:pPr>
    </w:p>
    <w:p>
      <w:pPr>
        <w:ind w:left="147" w:right="1700" w:hanging="147"/>
        <w:spacing w:after="0" w:line="255" w:lineRule="auto"/>
        <w:tabs>
          <w:tab w:leader="none" w:pos="147" w:val="left"/>
        </w:tabs>
        <w:numPr>
          <w:ilvl w:val="0"/>
          <w:numId w:val="27"/>
        </w:numPr>
        <w:rPr>
          <w:rFonts w:ascii="Arial" w:cs="Arial" w:eastAsia="Arial" w:hAnsi="Arial"/>
          <w:sz w:val="16"/>
          <w:szCs w:val="16"/>
          <w:color w:val="5668B0"/>
        </w:rPr>
      </w:pPr>
      <w:r>
        <w:rPr>
          <w:rFonts w:ascii="Arial" w:cs="Arial" w:eastAsia="Arial" w:hAnsi="Arial"/>
          <w:sz w:val="16"/>
          <w:szCs w:val="16"/>
          <w:color w:val="auto"/>
        </w:rPr>
        <w:t>Discuss with management the Company's major financial risk exposures and the steps management has taken to monitor and control such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115570</wp:posOffset>
            </wp:positionV>
            <wp:extent cx="8255" cy="1930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162" w:lineRule="exact"/>
        <w:rPr>
          <w:sz w:val="20"/>
          <w:szCs w:val="20"/>
          <w:color w:val="auto"/>
        </w:rPr>
      </w:pPr>
    </w:p>
    <w:tbl>
      <w:tblPr>
        <w:tblLayout w:type="fixed"/>
        <w:tblInd w:w="3467" w:type="dxa"/>
        <w:tblCellMar>
          <w:top w:w="0" w:type="dxa"/>
          <w:left w:w="0" w:type="dxa"/>
          <w:bottom w:w="0" w:type="dxa"/>
          <w:right w:w="0" w:type="dxa"/>
        </w:tblCellMar>
      </w:tblPr>
      <w:tr>
        <w:trPr>
          <w:trHeight w:val="304"/>
        </w:trPr>
        <w:tc>
          <w:tcPr>
            <w:tcW w:w="1840" w:type="dxa"/>
            <w:vAlign w:val="bottom"/>
          </w:tcPr>
          <w:p>
            <w:pPr>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62230</wp:posOffset>
            </wp:positionV>
            <wp:extent cx="725995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4393" w:space="720"/>
            <w:col w:w="6307"/>
          </w:cols>
          <w:pgMar w:left="240" w:top="142"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130175</wp:posOffset>
            </wp:positionV>
            <wp:extent cx="7118350" cy="578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8350" cy="5784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FFFFFE"/>
        </w:rPr>
        <w:t>Number of</w:t>
      </w:r>
    </w:p>
    <w:p>
      <w:pPr>
        <w:sectPr>
          <w:pgSz w:w="11900" w:h="16838" w:orient="portrait"/>
          <w:cols w:equalWidth="0" w:num="1">
            <w:col w:w="11420"/>
          </w:cols>
          <w:pgMar w:left="240" w:top="142" w:right="239" w:bottom="1440" w:gutter="0" w:footer="0" w:header="0"/>
        </w:sectPr>
      </w:pPr>
    </w:p>
    <w:p>
      <w:pPr>
        <w:spacing w:after="0" w:line="154" w:lineRule="exact"/>
        <w:rPr>
          <w:sz w:val="20"/>
          <w:szCs w:val="20"/>
          <w:color w:val="auto"/>
        </w:rPr>
      </w:pPr>
    </w:p>
    <w:p>
      <w:pPr>
        <w:ind w:left="220"/>
        <w:spacing w:after="0"/>
        <w:rPr>
          <w:sz w:val="20"/>
          <w:szCs w:val="20"/>
          <w:color w:val="auto"/>
        </w:rPr>
      </w:pPr>
      <w:r>
        <w:rPr>
          <w:rFonts w:ascii="Arial" w:cs="Arial" w:eastAsia="Arial" w:hAnsi="Arial"/>
          <w:sz w:val="13"/>
          <w:szCs w:val="13"/>
          <w:color w:val="FFFFFE"/>
        </w:rPr>
        <w:t>Name of Committee and Members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COMPENSATION</w:t>
      </w:r>
    </w:p>
    <w:p>
      <w:pPr>
        <w:spacing w:after="0" w:line="257" w:lineRule="exact"/>
        <w:rPr>
          <w:sz w:val="20"/>
          <w:szCs w:val="20"/>
          <w:color w:val="auto"/>
        </w:rPr>
      </w:pPr>
    </w:p>
    <w:p>
      <w:pPr>
        <w:ind w:left="220" w:right="1620"/>
        <w:spacing w:after="0" w:line="202" w:lineRule="auto"/>
        <w:rPr>
          <w:sz w:val="20"/>
          <w:szCs w:val="20"/>
          <w:color w:val="auto"/>
        </w:rPr>
      </w:pPr>
      <w:r>
        <w:rPr>
          <w:rFonts w:ascii="Arial" w:cs="Arial" w:eastAsia="Arial" w:hAnsi="Arial"/>
          <w:sz w:val="16"/>
          <w:szCs w:val="16"/>
          <w:color w:val="auto"/>
        </w:rPr>
        <w:t xml:space="preserve">Marc Tessier-Lavigne, Ph.D., </w:t>
      </w:r>
      <w:r>
        <w:rPr>
          <w:rFonts w:ascii="Arial" w:cs="Arial" w:eastAsia="Arial" w:hAnsi="Arial"/>
          <w:sz w:val="16"/>
          <w:szCs w:val="16"/>
          <w:i w:val="1"/>
          <w:iCs w:val="1"/>
          <w:color w:val="auto"/>
        </w:rPr>
        <w:t>Chairman</w:t>
      </w:r>
      <w:r>
        <w:rPr>
          <w:rFonts w:ascii="Arial" w:cs="Arial" w:eastAsia="Arial" w:hAnsi="Arial"/>
          <w:sz w:val="16"/>
          <w:szCs w:val="16"/>
          <w:color w:val="auto"/>
        </w:rPr>
        <w:t xml:space="preserve"> </w:t>
      </w:r>
      <w:r>
        <w:rPr>
          <w:rFonts w:ascii="Arial" w:cs="Arial" w:eastAsia="Arial" w:hAnsi="Arial"/>
          <w:sz w:val="27"/>
          <w:szCs w:val="27"/>
          <w:color w:val="5668B0"/>
          <w:vertAlign w:val="superscript"/>
        </w:rPr>
        <w:t>+</w:t>
      </w:r>
      <w:r>
        <w:rPr>
          <w:rFonts w:ascii="Arial" w:cs="Arial" w:eastAsia="Arial" w:hAnsi="Arial"/>
          <w:sz w:val="16"/>
          <w:szCs w:val="16"/>
          <w:color w:val="auto"/>
        </w:rPr>
        <w:t xml:space="preserve"> Charles A. Baker</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Robert A. Ingram (until his resignation on November 10, 2015)</w:t>
      </w:r>
    </w:p>
    <w:p>
      <w:pPr>
        <w:ind w:left="220"/>
        <w:spacing w:after="0" w:line="180" w:lineRule="auto"/>
        <w:rPr>
          <w:sz w:val="20"/>
          <w:szCs w:val="20"/>
          <w:color w:val="auto"/>
        </w:rPr>
      </w:pPr>
      <w:r>
        <w:rPr>
          <w:rFonts w:ascii="Arial" w:cs="Arial" w:eastAsia="Arial" w:hAnsi="Arial"/>
          <w:sz w:val="16"/>
          <w:szCs w:val="16"/>
          <w:color w:val="auto"/>
        </w:rPr>
        <w:t xml:space="preserve">Christine A. Poon </w:t>
      </w:r>
      <w:r>
        <w:rPr>
          <w:rFonts w:ascii="Arial" w:cs="Arial" w:eastAsia="Arial" w:hAnsi="Arial"/>
          <w:sz w:val="27"/>
          <w:szCs w:val="27"/>
          <w:color w:val="5668B0"/>
          <w:vertAlign w:val="superscript"/>
        </w:rPr>
        <w: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George L. 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CORPORATE GOVERNANCE AND COMPLIANCE</w:t>
      </w:r>
    </w:p>
    <w:p>
      <w:pPr>
        <w:spacing w:after="0" w:line="241" w:lineRule="exact"/>
        <w:rPr>
          <w:sz w:val="20"/>
          <w:szCs w:val="20"/>
          <w:color w:val="auto"/>
        </w:rPr>
      </w:pPr>
    </w:p>
    <w:p>
      <w:pPr>
        <w:ind w:left="220" w:right="160"/>
        <w:spacing w:after="0" w:line="258" w:lineRule="auto"/>
        <w:rPr>
          <w:sz w:val="20"/>
          <w:szCs w:val="20"/>
          <w:color w:val="auto"/>
        </w:rPr>
      </w:pPr>
      <w:r>
        <w:rPr>
          <w:rFonts w:ascii="Arial" w:cs="Arial" w:eastAsia="Arial" w:hAnsi="Arial"/>
          <w:sz w:val="16"/>
          <w:szCs w:val="16"/>
          <w:color w:val="auto"/>
        </w:rPr>
        <w:t xml:space="preserve">Alfred G. Gilman, M.D., Ph.D., </w:t>
      </w:r>
      <w:r>
        <w:rPr>
          <w:rFonts w:ascii="Arial" w:cs="Arial" w:eastAsia="Arial" w:hAnsi="Arial"/>
          <w:sz w:val="16"/>
          <w:szCs w:val="16"/>
          <w:i w:val="1"/>
          <w:iCs w:val="1"/>
          <w:color w:val="auto"/>
        </w:rPr>
        <w:t>Chairman</w:t>
      </w:r>
      <w:r>
        <w:rPr>
          <w:rFonts w:ascii="Arial" w:cs="Arial" w:eastAsia="Arial" w:hAnsi="Arial"/>
          <w:sz w:val="16"/>
          <w:szCs w:val="16"/>
          <w:color w:val="auto"/>
        </w:rPr>
        <w:t xml:space="preserve"> (until his resignation as Chairman on June 12, 2015,</w:t>
      </w:r>
    </w:p>
    <w:p>
      <w:pPr>
        <w:ind w:left="220"/>
        <w:spacing w:after="0" w:line="247" w:lineRule="auto"/>
        <w:rPr>
          <w:sz w:val="20"/>
          <w:szCs w:val="20"/>
          <w:color w:val="auto"/>
        </w:rPr>
      </w:pPr>
      <w:r>
        <w:rPr>
          <w:rFonts w:ascii="Arial" w:cs="Arial" w:eastAsia="Arial" w:hAnsi="Arial"/>
          <w:sz w:val="16"/>
          <w:szCs w:val="16"/>
          <w:color w:val="auto"/>
        </w:rPr>
        <w:t>following which Dr. Gilman continued to serve as a member of the Corporate Governance and Compliance Committee until his death on December 23, 2015)</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Arthur F. Ryan, </w:t>
      </w:r>
      <w:r>
        <w:rPr>
          <w:rFonts w:ascii="Arial" w:cs="Arial" w:eastAsia="Arial" w:hAnsi="Arial"/>
          <w:sz w:val="16"/>
          <w:szCs w:val="16"/>
          <w:i w:val="1"/>
          <w:iCs w:val="1"/>
          <w:color w:val="auto"/>
        </w:rPr>
        <w:t>Chairman</w:t>
      </w:r>
      <w:r>
        <w:rPr>
          <w:rFonts w:ascii="Arial" w:cs="Arial" w:eastAsia="Arial" w:hAnsi="Arial"/>
          <w:sz w:val="16"/>
          <w:szCs w:val="16"/>
          <w:color w:val="auto"/>
        </w:rPr>
        <w:t xml:space="preserve"> (appointed Chairman effective</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June 12, 2015)</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Michael S. Brown, M.D.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Christine A. Poon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TECHNOLOGY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7"/>
        <w:spacing w:after="0"/>
        <w:rPr>
          <w:sz w:val="20"/>
          <w:szCs w:val="20"/>
          <w:color w:val="auto"/>
        </w:rPr>
      </w:pPr>
      <w:r>
        <w:rPr>
          <w:rFonts w:ascii="Arial" w:cs="Arial" w:eastAsia="Arial" w:hAnsi="Arial"/>
          <w:sz w:val="13"/>
          <w:szCs w:val="13"/>
          <w:color w:val="FFFFFE"/>
        </w:rPr>
        <w:t>Key Functions of the Committee</w:t>
      </w:r>
    </w:p>
    <w:p>
      <w:pPr>
        <w:spacing w:after="0" w:line="330" w:lineRule="exact"/>
        <w:rPr>
          <w:sz w:val="20"/>
          <w:szCs w:val="20"/>
          <w:color w:val="auto"/>
        </w:rPr>
      </w:pPr>
    </w:p>
    <w:p>
      <w:pPr>
        <w:ind w:left="147" w:right="140"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Evaluate the performance of the Chief Executive Officer and other executive officers of the Company.</w:t>
      </w:r>
    </w:p>
    <w:p>
      <w:pPr>
        <w:spacing w:after="0" w:line="164" w:lineRule="exact"/>
        <w:rPr>
          <w:rFonts w:ascii="Arial" w:cs="Arial" w:eastAsia="Arial" w:hAnsi="Arial"/>
          <w:sz w:val="16"/>
          <w:szCs w:val="16"/>
          <w:color w:val="5668B0"/>
        </w:rPr>
      </w:pPr>
    </w:p>
    <w:p>
      <w:pPr>
        <w:ind w:left="147" w:right="460"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Approve the total compensation budget for all Company employees.</w:t>
      </w:r>
    </w:p>
    <w:p>
      <w:pPr>
        <w:spacing w:after="0" w:line="164" w:lineRule="exact"/>
        <w:rPr>
          <w:rFonts w:ascii="Arial" w:cs="Arial" w:eastAsia="Arial" w:hAnsi="Arial"/>
          <w:sz w:val="16"/>
          <w:szCs w:val="16"/>
          <w:color w:val="5668B0"/>
        </w:rPr>
      </w:pPr>
    </w:p>
    <w:p>
      <w:pPr>
        <w:ind w:left="147"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Oversee the Company's compensation and benefit philosophy and programs generally.</w:t>
      </w:r>
    </w:p>
    <w:p>
      <w:pPr>
        <w:spacing w:after="0" w:line="164" w:lineRule="exact"/>
        <w:rPr>
          <w:rFonts w:ascii="Arial" w:cs="Arial" w:eastAsia="Arial" w:hAnsi="Arial"/>
          <w:sz w:val="16"/>
          <w:szCs w:val="16"/>
          <w:color w:val="5668B0"/>
        </w:rPr>
      </w:pPr>
    </w:p>
    <w:p>
      <w:pPr>
        <w:ind w:left="147" w:right="580" w:hanging="147"/>
        <w:spacing w:after="0" w:line="253"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Review and approve annually the corporate goals and objectives applicable to the compensation of the Chief Executive Officer and the goals and objectives of the Company's executive compensation programs.</w:t>
      </w:r>
    </w:p>
    <w:p>
      <w:pPr>
        <w:spacing w:after="0" w:line="173" w:lineRule="exact"/>
        <w:rPr>
          <w:rFonts w:ascii="Arial" w:cs="Arial" w:eastAsia="Arial" w:hAnsi="Arial"/>
          <w:sz w:val="16"/>
          <w:szCs w:val="16"/>
          <w:color w:val="5668B0"/>
        </w:rPr>
      </w:pPr>
    </w:p>
    <w:p>
      <w:pPr>
        <w:ind w:left="147" w:right="40"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Prepare an annual report of the Compensation Committee for inclusion in the proxy statement.</w:t>
      </w:r>
    </w:p>
    <w:p>
      <w:pPr>
        <w:spacing w:after="0" w:line="164" w:lineRule="exact"/>
        <w:rPr>
          <w:rFonts w:ascii="Arial" w:cs="Arial" w:eastAsia="Arial" w:hAnsi="Arial"/>
          <w:sz w:val="16"/>
          <w:szCs w:val="16"/>
          <w:color w:val="5668B0"/>
        </w:rPr>
      </w:pPr>
    </w:p>
    <w:p>
      <w:pPr>
        <w:ind w:left="147" w:right="260"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Review and approve the Compensation Discussion and Analysis to be included in the Company's proxy statement.</w:t>
      </w:r>
    </w:p>
    <w:p>
      <w:pPr>
        <w:spacing w:after="0" w:line="354" w:lineRule="exact"/>
        <w:rPr>
          <w:rFonts w:ascii="Arial" w:cs="Arial" w:eastAsia="Arial" w:hAnsi="Arial"/>
          <w:sz w:val="16"/>
          <w:szCs w:val="16"/>
          <w:color w:val="5668B0"/>
        </w:rPr>
      </w:pPr>
    </w:p>
    <w:p>
      <w:pPr>
        <w:ind w:left="147" w:right="40"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Identify qualified individuals to become members of the board and recommend such candidates to the board.</w:t>
      </w:r>
    </w:p>
    <w:p>
      <w:pPr>
        <w:spacing w:after="0" w:line="164" w:lineRule="exact"/>
        <w:rPr>
          <w:rFonts w:ascii="Arial" w:cs="Arial" w:eastAsia="Arial" w:hAnsi="Arial"/>
          <w:sz w:val="16"/>
          <w:szCs w:val="16"/>
          <w:color w:val="5668B0"/>
        </w:rPr>
      </w:pPr>
    </w:p>
    <w:p>
      <w:pPr>
        <w:ind w:left="147" w:right="200" w:hanging="147"/>
        <w:spacing w:after="0" w:line="255"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Assess the functioning of the board and its committees and make recommendations to the board concerning the appropriate size, function, and needs of the board.</w:t>
      </w:r>
    </w:p>
    <w:p>
      <w:pPr>
        <w:spacing w:after="0" w:line="172" w:lineRule="exact"/>
        <w:rPr>
          <w:rFonts w:ascii="Arial" w:cs="Arial" w:eastAsia="Arial" w:hAnsi="Arial"/>
          <w:sz w:val="16"/>
          <w:szCs w:val="16"/>
          <w:color w:val="5668B0"/>
        </w:rPr>
      </w:pPr>
    </w:p>
    <w:p>
      <w:pPr>
        <w:ind w:left="147"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Make recommendations to the board regarding non-employee director compensation.</w:t>
      </w:r>
    </w:p>
    <w:p>
      <w:pPr>
        <w:spacing w:after="0" w:line="164" w:lineRule="exact"/>
        <w:rPr>
          <w:rFonts w:ascii="Arial" w:cs="Arial" w:eastAsia="Arial" w:hAnsi="Arial"/>
          <w:sz w:val="16"/>
          <w:szCs w:val="16"/>
          <w:color w:val="5668B0"/>
        </w:rPr>
      </w:pPr>
    </w:p>
    <w:p>
      <w:pPr>
        <w:ind w:left="147" w:right="360"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Make recommendations to the board regarding corporate governance matters and practices.</w:t>
      </w:r>
    </w:p>
    <w:p>
      <w:pPr>
        <w:spacing w:after="0" w:line="164" w:lineRule="exact"/>
        <w:rPr>
          <w:rFonts w:ascii="Arial" w:cs="Arial" w:eastAsia="Arial" w:hAnsi="Arial"/>
          <w:sz w:val="16"/>
          <w:szCs w:val="16"/>
          <w:color w:val="5668B0"/>
        </w:rPr>
      </w:pPr>
    </w:p>
    <w:p>
      <w:pPr>
        <w:ind w:left="147" w:right="580" w:hanging="147"/>
        <w:spacing w:after="0" w:line="264" w:lineRule="auto"/>
        <w:tabs>
          <w:tab w:leader="none" w:pos="147" w:val="left"/>
        </w:tabs>
        <w:numPr>
          <w:ilvl w:val="0"/>
          <w:numId w:val="28"/>
        </w:numPr>
        <w:rPr>
          <w:rFonts w:ascii="Arial" w:cs="Arial" w:eastAsia="Arial" w:hAnsi="Arial"/>
          <w:sz w:val="16"/>
          <w:szCs w:val="16"/>
          <w:color w:val="5668B0"/>
        </w:rPr>
      </w:pPr>
      <w:r>
        <w:rPr>
          <w:rFonts w:ascii="Arial" w:cs="Arial" w:eastAsia="Arial" w:hAnsi="Arial"/>
          <w:sz w:val="16"/>
          <w:szCs w:val="16"/>
          <w:color w:val="auto"/>
        </w:rPr>
        <w:t>Oversee all aspects of the Company's comprehensive compliance program other than financial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-2066290</wp:posOffset>
            </wp:positionV>
            <wp:extent cx="7118350" cy="2048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8350" cy="2048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3"/>
          <w:szCs w:val="13"/>
          <w:color w:val="FFFFFE"/>
        </w:rPr>
        <w:t>Meetings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FFFFFE"/>
        </w:rPr>
        <w:t>Held in 2015</w:t>
      </w:r>
    </w:p>
    <w:p>
      <w:pPr>
        <w:spacing w:after="0" w:line="200" w:lineRule="exact"/>
        <w:rPr>
          <w:sz w:val="20"/>
          <w:szCs w:val="20"/>
          <w:color w:val="auto"/>
        </w:rPr>
      </w:pPr>
    </w:p>
    <w:p>
      <w:pPr>
        <w:spacing w:after="0" w:line="332"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7</w:t>
      </w:r>
    </w:p>
    <w:p>
      <w:pPr>
        <w:spacing w:after="0" w:line="2865" w:lineRule="exact"/>
        <w:rPr>
          <w:sz w:val="20"/>
          <w:szCs w:val="20"/>
          <w:color w:val="auto"/>
        </w:rPr>
      </w:pPr>
    </w:p>
    <w:p>
      <w:pPr>
        <w:sectPr>
          <w:pgSz w:w="11900" w:h="16838" w:orient="portrait"/>
          <w:cols w:equalWidth="0" w:num="3">
            <w:col w:w="4840" w:space="273"/>
            <w:col w:w="4667" w:space="660"/>
            <w:col w:w="980"/>
          </w:cols>
          <w:pgMar w:left="240" w:top="142" w:right="239" w:bottom="1440" w:gutter="0" w:footer="0" w:header="0"/>
          <w:type w:val="continuous"/>
        </w:sectPr>
      </w:pPr>
    </w:p>
    <w:p>
      <w:pPr>
        <w:spacing w:after="0" w:line="1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Michael S. Brown, M.D., </w:t>
      </w:r>
      <w:r>
        <w:rPr>
          <w:rFonts w:ascii="Arial" w:cs="Arial" w:eastAsia="Arial" w:hAnsi="Arial"/>
          <w:sz w:val="16"/>
          <w:szCs w:val="16"/>
          <w:i w:val="1"/>
          <w:iCs w:val="1"/>
          <w:color w:val="auto"/>
        </w:rPr>
        <w:t>Chairman</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Alfred G. Gilman, M.D., Ph.D. (until December 23, 2015)</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Marc Tessier-Lavigne, Ph.D.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 Roy Vagelos, M.D.</w:t>
      </w:r>
    </w:p>
    <w:p>
      <w:pPr>
        <w:spacing w:after="0" w:line="6" w:lineRule="exact"/>
        <w:rPr>
          <w:sz w:val="20"/>
          <w:szCs w:val="20"/>
          <w:color w:val="auto"/>
        </w:rPr>
      </w:pPr>
    </w:p>
    <w:p>
      <w:pPr>
        <w:ind w:left="220" w:right="1373"/>
        <w:spacing w:after="0" w:line="264" w:lineRule="auto"/>
        <w:rPr>
          <w:sz w:val="20"/>
          <w:szCs w:val="20"/>
          <w:color w:val="auto"/>
        </w:rPr>
      </w:pPr>
      <w:r>
        <w:rPr>
          <w:rFonts w:ascii="Arial" w:cs="Arial" w:eastAsia="Arial" w:hAnsi="Arial"/>
          <w:sz w:val="16"/>
          <w:szCs w:val="16"/>
          <w:color w:val="auto"/>
        </w:rPr>
        <w:t xml:space="preserve">Leonard S. Schleifer, M.D., Ph.D. </w:t>
      </w:r>
      <w:r>
        <w:rPr>
          <w:rFonts w:ascii="Arial" w:cs="Arial" w:eastAsia="Arial" w:hAnsi="Arial"/>
          <w:sz w:val="16"/>
          <w:szCs w:val="16"/>
          <w:color w:val="5668B0"/>
        </w:rPr>
        <w:t>*</w:t>
      </w:r>
      <w:r>
        <w:rPr>
          <w:rFonts w:ascii="Arial" w:cs="Arial" w:eastAsia="Arial" w:hAnsi="Arial"/>
          <w:sz w:val="16"/>
          <w:szCs w:val="16"/>
          <w:color w:val="auto"/>
        </w:rPr>
        <w:t xml:space="preserve"> George D. Yancopoulos, M.D., Ph.D. </w:t>
      </w:r>
      <w:r>
        <w:rPr>
          <w:rFonts w:ascii="Arial" w:cs="Arial" w:eastAsia="Arial" w:hAnsi="Arial"/>
          <w:sz w:val="16"/>
          <w:szCs w:val="16"/>
          <w:color w:val="5668B0"/>
        </w:rPr>
        <w:t>*</w:t>
      </w:r>
    </w:p>
    <w:p>
      <w:pPr>
        <w:spacing w:after="0" w:line="20" w:lineRule="exact"/>
        <w:rPr>
          <w:sz w:val="20"/>
          <w:szCs w:val="20"/>
          <w:color w:val="auto"/>
        </w:rPr>
      </w:pPr>
      <w:r>
        <w:rPr>
          <w:sz w:val="20"/>
          <w:szCs w:val="20"/>
          <w:color w:val="auto"/>
        </w:rPr>
        <w:br w:type="column"/>
      </w:r>
    </w:p>
    <w:p>
      <w:pPr>
        <w:ind w:left="147" w:hanging="147"/>
        <w:spacing w:after="0"/>
        <w:tabs>
          <w:tab w:leader="none" w:pos="147" w:val="left"/>
        </w:tabs>
        <w:numPr>
          <w:ilvl w:val="0"/>
          <w:numId w:val="29"/>
        </w:numPr>
        <w:rPr>
          <w:rFonts w:ascii="Arial" w:cs="Arial" w:eastAsia="Arial" w:hAnsi="Arial"/>
          <w:sz w:val="16"/>
          <w:szCs w:val="16"/>
          <w:color w:val="5668B0"/>
        </w:rPr>
      </w:pPr>
      <w:r>
        <w:rPr>
          <w:rFonts w:ascii="Arial" w:cs="Arial" w:eastAsia="Arial" w:hAnsi="Arial"/>
          <w:sz w:val="16"/>
          <w:szCs w:val="16"/>
          <w:color w:val="auto"/>
        </w:rPr>
        <w:t>Review and evaluate the Company's research and clinical</w:t>
      </w:r>
    </w:p>
    <w:p>
      <w:pPr>
        <w:spacing w:after="0" w:line="6" w:lineRule="exact"/>
        <w:rPr>
          <w:sz w:val="20"/>
          <w:szCs w:val="20"/>
          <w:color w:val="auto"/>
        </w:rPr>
      </w:pPr>
    </w:p>
    <w:tbl>
      <w:tblPr>
        <w:tblLayout w:type="fixed"/>
        <w:tblInd w:w="147" w:type="dxa"/>
        <w:tblCellMar>
          <w:top w:w="0" w:type="dxa"/>
          <w:left w:w="0" w:type="dxa"/>
          <w:bottom w:w="0" w:type="dxa"/>
          <w:right w:w="0" w:type="dxa"/>
        </w:tblCellMar>
      </w:tblPr>
      <w:tr>
        <w:trPr>
          <w:trHeight w:val="210"/>
        </w:trPr>
        <w:tc>
          <w:tcPr>
            <w:tcW w:w="4520" w:type="dxa"/>
            <w:vAlign w:val="bottom"/>
          </w:tcPr>
          <w:p>
            <w:pPr>
              <w:spacing w:after="0"/>
              <w:rPr>
                <w:sz w:val="20"/>
                <w:szCs w:val="20"/>
                <w:color w:val="auto"/>
              </w:rPr>
            </w:pPr>
            <w:r>
              <w:rPr>
                <w:rFonts w:ascii="Arial" w:cs="Arial" w:eastAsia="Arial" w:hAnsi="Arial"/>
                <w:sz w:val="16"/>
                <w:szCs w:val="16"/>
                <w:color w:val="auto"/>
              </w:rPr>
              <w:t>development programs, plans, and policies.</w:t>
            </w: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724535</wp:posOffset>
            </wp:positionV>
            <wp:extent cx="69742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74205" cy="8255"/>
                    </a:xfrm>
                    <a:prstGeom prst="rect">
                      <a:avLst/>
                    </a:prstGeom>
                    <a:noFill/>
                  </pic:spPr>
                </pic:pic>
              </a:graphicData>
            </a:graphic>
          </wp:anchor>
        </w:drawing>
      </w:r>
    </w:p>
    <w:p>
      <w:pPr>
        <w:spacing w:after="0" w:line="1359" w:lineRule="exact"/>
        <w:rPr>
          <w:sz w:val="20"/>
          <w:szCs w:val="20"/>
          <w:color w:val="auto"/>
        </w:rPr>
      </w:pPr>
    </w:p>
    <w:p>
      <w:pPr>
        <w:sectPr>
          <w:pgSz w:w="11900" w:h="16838" w:orient="portrait"/>
          <w:cols w:equalWidth="0" w:num="2">
            <w:col w:w="4393" w:space="720"/>
            <w:col w:w="6307"/>
          </w:cols>
          <w:pgMar w:left="240" w:top="142" w:right="239" w:bottom="1440" w:gutter="0" w:footer="0" w:header="0"/>
          <w:type w:val="continuous"/>
        </w:sectPr>
      </w:pPr>
    </w:p>
    <w:p>
      <w:pPr>
        <w:ind w:left="500" w:hanging="499"/>
        <w:spacing w:after="0" w:line="264" w:lineRule="auto"/>
        <w:tabs>
          <w:tab w:leader="none" w:pos="500" w:val="left"/>
        </w:tabs>
        <w:numPr>
          <w:ilvl w:val="0"/>
          <w:numId w:val="30"/>
        </w:numPr>
        <w:rPr>
          <w:rFonts w:ascii="Arial" w:cs="Arial" w:eastAsia="Arial" w:hAnsi="Arial"/>
          <w:sz w:val="16"/>
          <w:szCs w:val="16"/>
          <w:b w:val="1"/>
          <w:bCs w:val="1"/>
          <w:color w:val="5668B0"/>
        </w:rPr>
      </w:pPr>
      <w:r>
        <w:rPr>
          <w:rFonts w:ascii="Arial" w:cs="Arial" w:eastAsia="Arial" w:hAnsi="Arial"/>
          <w:sz w:val="16"/>
          <w:szCs w:val="16"/>
          <w:color w:val="auto"/>
        </w:rPr>
        <w:t>Dr. Tessier-Lavigne resigned as Chairman and a member of the Compensation Committee effective as of April 1, 2016. Ms. Poon was appointed as Chairperson of the Compensation Committee effective as of Dr. Tessier-Lavigne's resignation date.</w:t>
      </w:r>
    </w:p>
    <w:p>
      <w:pPr>
        <w:spacing w:after="0" w:line="174" w:lineRule="exact"/>
        <w:rPr>
          <w:sz w:val="20"/>
          <w:szCs w:val="20"/>
          <w:color w:val="auto"/>
        </w:rPr>
      </w:pPr>
    </w:p>
    <w:p>
      <w:pPr>
        <w:ind w:left="500" w:hanging="499"/>
        <w:spacing w:after="0"/>
        <w:tabs>
          <w:tab w:leader="none" w:pos="500" w:val="left"/>
        </w:tabs>
        <w:numPr>
          <w:ilvl w:val="0"/>
          <w:numId w:val="31"/>
        </w:numPr>
        <w:rPr>
          <w:rFonts w:ascii="Arial" w:cs="Arial" w:eastAsia="Arial" w:hAnsi="Arial"/>
          <w:sz w:val="16"/>
          <w:szCs w:val="16"/>
          <w:b w:val="1"/>
          <w:bCs w:val="1"/>
          <w:color w:val="5668B0"/>
        </w:rPr>
      </w:pPr>
      <w:r>
        <w:rPr>
          <w:rFonts w:ascii="Arial" w:cs="Arial" w:eastAsia="Arial" w:hAnsi="Arial"/>
          <w:sz w:val="16"/>
          <w:szCs w:val="16"/>
          <w:i w:val="1"/>
          <w:iCs w:val="1"/>
          <w:color w:val="auto"/>
        </w:rPr>
        <w:t xml:space="preserve">Ex Officio </w:t>
      </w:r>
      <w:r>
        <w:rPr>
          <w:rFonts w:ascii="Arial" w:cs="Arial" w:eastAsia="Arial" w:hAnsi="Arial"/>
          <w:sz w:val="16"/>
          <w:szCs w:val="16"/>
          <w:color w:val="auto"/>
        </w:rPr>
        <w:t>Member.</w:t>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Code of Ethics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xml:space="preserve"> under the "Corporate Governance" heading on the "Investors &amp; Media" page. We may satisfy the disclosure requirement under Item 5.05 of Form 8-K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642620" cy="1930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367665</wp:posOffset>
            </wp:positionV>
            <wp:extent cx="8255" cy="1930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592"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288" w:lineRule="exact"/>
        <w:rPr>
          <w:sz w:val="20"/>
          <w:szCs w:val="20"/>
          <w:color w:val="auto"/>
        </w:rPr>
      </w:pPr>
    </w:p>
    <w:p>
      <w:pPr>
        <w:ind w:left="1160" w:hanging="744"/>
        <w:spacing w:after="0"/>
        <w:tabs>
          <w:tab w:leader="none" w:pos="1160" w:val="left"/>
        </w:tabs>
        <w:numPr>
          <w:ilvl w:val="0"/>
          <w:numId w:val="3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Director Independence</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board of directors has determined that each of the following currently serving directors is independent as defined in the listing standards of The NASDAQ Stock Market LLC and our Corporate Governance Guidelines: Charles A. Baker, Michael S. Brown, M.D., Joseph L. Goldstein, M.D., Christine A. Poon, Arthur F. Ryan, George L. Sing, and Marc Tessier-Lavigne, Ph.D.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The board conducts executive sessions of independent directors following each regularly scheduled board meeting.</w:t>
      </w:r>
    </w:p>
    <w:p>
      <w:pPr>
        <w:spacing w:after="0" w:line="379"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board of directors has determined that each of the current members of the Audit Committee, Messrs. Baker, Ryan, and Sing, qualifies as an "audit committee financial expert" as that term is defined in Item 407(d)(5)</w:t>
      </w:r>
    </w:p>
    <w:p>
      <w:pPr>
        <w:spacing w:after="0" w:line="1" w:lineRule="exact"/>
        <w:rPr>
          <w:sz w:val="20"/>
          <w:szCs w:val="20"/>
          <w:color w:val="auto"/>
        </w:rPr>
      </w:pPr>
    </w:p>
    <w:p>
      <w:pPr>
        <w:jc w:val="both"/>
        <w:ind w:right="20" w:firstLine="1"/>
        <w:spacing w:after="0" w:line="253" w:lineRule="auto"/>
        <w:tabs>
          <w:tab w:leader="none" w:pos="2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of Regulation S-K under the Exchange Act, meets the required standards for independence set forth in Rule 10A-3(b)(1) under the Exchange Act, and is independent as defined for audit committee members in the listing standards of The NASDAQ Stock Market LLC.</w:t>
      </w:r>
    </w:p>
    <w:p>
      <w:pPr>
        <w:spacing w:after="0" w:line="18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In addition, the board of directors has determined that each of the current members of the Compensation Committee, Ms. Poon, Messrs. Baker and Sing, and Dr. Goldstein, meets the additional independence criteria applicable to compensation committee members under the listing standards of The NASDAQ Stock Market LLC and qualifies as a "Non-Employee Director" pursuant to Rule 16b-3 under the Exchange Act and as an "outside director" within the meaning of Section 162(m) of the Internal Revenue Code.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Board Leadership and Role in Risk Oversight</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38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board executes its oversight responsibility for risk management directly and through its Committees, as follows:</w:t>
      </w:r>
    </w:p>
    <w:p>
      <w:pPr>
        <w:spacing w:after="0" w:line="177" w:lineRule="exact"/>
        <w:rPr>
          <w:sz w:val="20"/>
          <w:szCs w:val="20"/>
          <w:color w:val="auto"/>
        </w:rPr>
      </w:pPr>
    </w:p>
    <w:p>
      <w:pPr>
        <w:ind w:left="500" w:right="20" w:hanging="499"/>
        <w:spacing w:after="0" w:line="264" w:lineRule="auto"/>
        <w:tabs>
          <w:tab w:leader="none" w:pos="500" w:val="left"/>
        </w:tabs>
        <w:numPr>
          <w:ilvl w:val="0"/>
          <w:numId w:val="34"/>
        </w:numPr>
        <w:rPr>
          <w:rFonts w:ascii="Arial" w:cs="Arial" w:eastAsia="Arial" w:hAnsi="Arial"/>
          <w:sz w:val="16"/>
          <w:szCs w:val="16"/>
          <w:color w:val="5668B0"/>
        </w:rPr>
      </w:pPr>
      <w:r>
        <w:rPr>
          <w:rFonts w:ascii="Arial" w:cs="Arial" w:eastAsia="Arial" w:hAnsi="Arial"/>
          <w:sz w:val="16"/>
          <w:szCs w:val="16"/>
          <w:color w:val="auto"/>
        </w:rPr>
        <w:t>The Audit Committee oversees the Company's risk management program. The Company's Chief Audit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503"/>
        <w:spacing w:after="0" w:line="251" w:lineRule="auto"/>
        <w:rPr>
          <w:sz w:val="20"/>
          <w:szCs w:val="20"/>
          <w:color w:val="auto"/>
        </w:rPr>
      </w:pPr>
      <w:r>
        <w:rPr>
          <w:rFonts w:ascii="Arial" w:cs="Arial" w:eastAsia="Arial" w:hAnsi="Arial"/>
          <w:sz w:val="16"/>
          <w:szCs w:val="16"/>
          <w:color w:val="auto"/>
        </w:rPr>
        <w:t>who reports independently to the Committee, facilitates the risk management program. Audit Committee meetings include discussions of specific risk areas throughout the year, as well as annual reports from the Chief Audit Executive on the Company's enterprise risk profile.</w:t>
      </w:r>
    </w:p>
    <w:p>
      <w:pPr>
        <w:spacing w:after="0" w:line="189" w:lineRule="exact"/>
        <w:rPr>
          <w:sz w:val="20"/>
          <w:szCs w:val="20"/>
          <w:color w:val="auto"/>
        </w:rPr>
      </w:pPr>
    </w:p>
    <w:p>
      <w:pPr>
        <w:jc w:val="both"/>
        <w:ind w:left="503" w:hanging="503"/>
        <w:spacing w:after="0" w:line="249" w:lineRule="auto"/>
        <w:tabs>
          <w:tab w:leader="none" w:pos="503" w:val="left"/>
        </w:tabs>
        <w:numPr>
          <w:ilvl w:val="0"/>
          <w:numId w:val="35"/>
        </w:numPr>
        <w:rPr>
          <w:rFonts w:ascii="Arial" w:cs="Arial" w:eastAsia="Arial" w:hAnsi="Arial"/>
          <w:sz w:val="16"/>
          <w:szCs w:val="16"/>
          <w:color w:val="5668B0"/>
        </w:rPr>
      </w:pPr>
      <w:r>
        <w:rPr>
          <w:rFonts w:ascii="Arial" w:cs="Arial" w:eastAsia="Arial" w:hAnsi="Arial"/>
          <w:sz w:val="16"/>
          <w:szCs w:val="16"/>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190" w:lineRule="exact"/>
        <w:rPr>
          <w:rFonts w:ascii="Arial" w:cs="Arial" w:eastAsia="Arial" w:hAnsi="Arial"/>
          <w:sz w:val="16"/>
          <w:szCs w:val="16"/>
          <w:color w:val="5668B0"/>
        </w:rPr>
      </w:pPr>
    </w:p>
    <w:p>
      <w:pPr>
        <w:jc w:val="both"/>
        <w:ind w:left="503" w:hanging="503"/>
        <w:spacing w:after="0" w:line="249" w:lineRule="auto"/>
        <w:tabs>
          <w:tab w:leader="none" w:pos="503" w:val="left"/>
        </w:tabs>
        <w:numPr>
          <w:ilvl w:val="0"/>
          <w:numId w:val="35"/>
        </w:numPr>
        <w:rPr>
          <w:rFonts w:ascii="Arial" w:cs="Arial" w:eastAsia="Arial" w:hAnsi="Arial"/>
          <w:sz w:val="16"/>
          <w:szCs w:val="16"/>
          <w:color w:val="5668B0"/>
        </w:rPr>
      </w:pPr>
      <w:r>
        <w:rPr>
          <w:rFonts w:ascii="Arial" w:cs="Arial" w:eastAsia="Arial" w:hAnsi="Arial"/>
          <w:sz w:val="16"/>
          <w:szCs w:val="16"/>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668B0"/>
        </w:rPr>
        <w:t>Board Meetings and Attendance of Directors</w:t>
      </w:r>
    </w:p>
    <w:p>
      <w:pPr>
        <w:spacing w:after="0" w:line="228"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The board held five regular meetings and two special meetings in 2015. All directors attended more than 75% of the total number of meetings of the board and committees of the board on which they served. According to the Regeneron Board of Directors Corporate Governance Guidelines, board members are expected to attend the Company's Annual Meeting of Shareholders. All of the directors attended our 2015 Annual Meeting of Shareholders, with one director participating through electronic conferencing.</w:t>
      </w:r>
    </w:p>
    <w:p>
      <w:pPr>
        <w:spacing w:after="0" w:line="174" w:lineRule="exact"/>
        <w:rPr>
          <w:sz w:val="20"/>
          <w:szCs w:val="20"/>
          <w:color w:val="auto"/>
        </w:rPr>
      </w:pPr>
    </w:p>
    <w:p>
      <w:pPr>
        <w:jc w:val="both"/>
        <w:ind w:left="3"/>
        <w:spacing w:after="0" w:line="290" w:lineRule="auto"/>
        <w:rPr>
          <w:sz w:val="20"/>
          <w:szCs w:val="20"/>
          <w:color w:val="auto"/>
        </w:rPr>
      </w:pPr>
      <w:r>
        <w:rPr>
          <w:rFonts w:ascii="Arial" w:cs="Arial" w:eastAsia="Arial" w:hAnsi="Arial"/>
          <w:sz w:val="16"/>
          <w:szCs w:val="16"/>
          <w:b w:val="1"/>
          <w:bCs w:val="1"/>
          <w:color w:val="5668B0"/>
        </w:rPr>
        <w:t>Executive Compensation Processes and Procedures; Role of Compensation Consultants</w:t>
      </w:r>
    </w:p>
    <w:p>
      <w:pPr>
        <w:spacing w:after="0" w:line="157"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The Compensation Committee is responsible for overseeing the Company's general compensation objectives and programs. We describe the role of the Compensation Committee, as well as the role of our executive officers, in decisions regarding executive compensation (particularly with respect to our Named Officers referred to below under "Executive Compensation") below under "Executive Compensation – Compensation Discussion and Analysis – Section 3 – Executive Compensation Process and Considerations – Overview."</w:t>
      </w:r>
    </w:p>
    <w:p>
      <w:pPr>
        <w:spacing w:after="0" w:line="200" w:lineRule="exact"/>
        <w:rPr>
          <w:sz w:val="20"/>
          <w:szCs w:val="20"/>
          <w:color w:val="auto"/>
        </w:rPr>
      </w:pPr>
    </w:p>
    <w:p>
      <w:pPr>
        <w:spacing w:after="0" w:line="206" w:lineRule="exact"/>
        <w:rPr>
          <w:sz w:val="20"/>
          <w:szCs w:val="20"/>
          <w:color w:val="auto"/>
        </w:rPr>
      </w:pPr>
    </w:p>
    <w:tbl>
      <w:tblPr>
        <w:tblLayout w:type="fixed"/>
        <w:tblInd w:w="2523" w:type="dxa"/>
        <w:tblCellMar>
          <w:top w:w="0" w:type="dxa"/>
          <w:left w:w="0" w:type="dxa"/>
          <w:bottom w:w="0" w:type="dxa"/>
          <w:right w:w="0" w:type="dxa"/>
        </w:tblCellMar>
      </w:tblPr>
      <w:tr>
        <w:trPr>
          <w:trHeight w:val="250"/>
        </w:trPr>
        <w:tc>
          <w:tcPr>
            <w:tcW w:w="1840" w:type="dxa"/>
            <w:vAlign w:val="bottom"/>
            <w:vMerge w:val="restart"/>
          </w:tcPr>
          <w:p>
            <w:pPr>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19</w:t>
            </w: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62230</wp:posOffset>
            </wp:positionV>
            <wp:extent cx="725995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1176020</wp:posOffset>
            </wp:positionH>
            <wp:positionV relativeFrom="paragraph">
              <wp:posOffset>-192405</wp:posOffset>
            </wp:positionV>
            <wp:extent cx="8255" cy="1930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discussed in greater detail under "Executive Compensation – Compensation Discussion and Analysis – Section 3 – Executive Compensation Process and Considerations," the Compensation Committee has the sole authority to retain its own third-party compensation consultants, and in 2015 utilized the services of Frederic W. Cook &amp; Co., Inc. ("Frederic W. Cook &amp; Co."), a compensation consultant. Advice and recommendations provided by Frederic W. Cook &amp; Co. may relate to both executive compensation (discussed under "Executive Compensation" below) and director compensation matters (discussed under " – Compensation of Directors" below). In addition, management retains another compensation consultant for its own use. In 2015,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(including the 2015 Radford Global Life Sciences Survey discussed in this proxy statement); and assisting management in the development and analysis of executive compensation recommendations. Reports prepared by Radford that relate to executive compensation may also be shared with the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Compensation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general philosophy we have applied to compensation of our non-employee directors and the Chairman of the Board is similar to the executive compensation philosophy outlined in the Compensation Discussion and Analysis section of this proxy statement. This philosophy places an emphasis on equity compensation in the form of stock options, which reward growth in stock price and align the directors' interests with those of our shareholders by providing value to the directors only if there is future stock price appreciation and not rendering any value to the directors if the stock price declines below the applicable exercise price. Similar to executive compensation, the emphasis on long-term incentives in the form of stock options has been a consistent part of Regeneron's director compensation philosophy and preceded the significant appreciation in Regeneron's stock price that began in early 2011. As discussed in greater detail below, the board of directors voluntarily reduced the number of shares underlying the three most recent annual stock option awards to the non-employee directors and the Chairman of the Board by 15% each time, consistent with the reductions in annual awards to executive officers implemented in December 2013, 2014, and 2015.</w:t>
      </w:r>
    </w:p>
    <w:p>
      <w:pPr>
        <w:spacing w:after="0" w:line="38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Corporate Governance and Compliance Committee makes recommendations to the board of directors regarding, and the board of directors determines, the compensation of non-employee directors. The Corporate Governance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1930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244475</wp:posOffset>
            </wp:positionV>
            <wp:extent cx="8255" cy="1930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4" w:lineRule="exact"/>
        <w:rPr>
          <w:sz w:val="20"/>
          <w:szCs w:val="20"/>
          <w:color w:val="auto"/>
        </w:rPr>
      </w:pPr>
    </w:p>
    <w:p>
      <w:pPr>
        <w:ind w:left="1160" w:hanging="744"/>
        <w:spacing w:after="0"/>
        <w:tabs>
          <w:tab w:leader="none" w:pos="1160" w:val="left"/>
        </w:tabs>
        <w:numPr>
          <w:ilvl w:val="0"/>
          <w:numId w:val="3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Compliance Committee evaluates the appropriate level and form of compensation for non-employee directors at least annually and recommends changes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the qualifications, expertise, demands on our directors, practices of similar companies in the biotechnology industry, and any recommendations provided by the compensation consultants of the Committee or management. The recent changes to the non-employee director compensation program described below were adopted based on such considerations.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Fees and Matching Gift Program</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non-employee director receives an annual retainer of $55,000 and an annual committee retainer of $10,000 for each standing committee on which the director serves. In 2015, the Chairman of the Audit Committee received an additional retainer of $5,000 (increased to $10,000 in the aggregate starting in 2016 as a result of the change described in the following sentence). Starting in 2016, the board of directors approved an annual retainer of $10,000 for each chairperson of the standing committees of the Company's board of directors, which is in addition to the annual retainer payable to all non-employee directors and the annual retainer payable in respect of service as a director on each standing committee (which remained unchanged). Non-employee directors are reimbursed for their actual expenses incurred in connection with their activities as directors, which included travel, hotel, and food and entertainment expenses. In addition, directors are eligible to participate in the Regeneron Matching Gift Program, which was adopted effective January 1, 2013 and is also available to eligible employees. Under this program, the Company matches contributions made to eligible tax-exempt organizations. Effective January 1, 2014, the maximum annual match has been increased to $5,000 (from $2,000) per person.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Stock Option Awards</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Pursuant to the terms of the Regeneron Pharmaceuticals, Inc. 2014 Long-Term Incentive Plan and resolutions of the Compensation Committee adopted on December 16, 2014 and December 16, 2015, each non-employee director receives an automatic grant of a stock option to purchase common stock on the first business day of each year, with an exercise price equal to the fair market value of a share of common stock on the date of grant (determined, for so long as our common stock is listed on the NASDAQ Global Select Market, as the average of the high and low sales price per share of common stock on the NASDAQ Global Select Market on the date of grant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623570</wp:posOffset>
            </wp:positionV>
            <wp:extent cx="725995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such date is not a trading day, on the last preceding date on which there was a sale of the Company's common stock on the NASDAQ Global Select Market). These stock options become exercisable as to one-third of the shares on the anniversary of the date of grant in each of the three subsequent calendar years, generally subject to continued service on the board, and generally expire ten years following the date of grant. In 2015, similar to the reductions in annual awards to executive officers and other employees discussed under "Executive Compensation" below, the Compensation Committee reduced the automatic grant of stock options to our non-employee directors by 15%, from 10,838 shares to 9,212 shares of common stock underlying each such stock option. Similar to the rationale for the reductions in annual awards to executive officers and other employees discussed under "Executive Compensation" below, the impetus for the reductions in the automatic grants to the non-employee directors was to reduce the potential dilutive impact of these grants; the reductions also took into account the increase in the Company stock price since the prior years' awards, with the resulting increases in the grant date fair values of the automatic grants (as determined according to the Black-Scholes model for valuing stock options). The reduced grants to our non-employee directors were made on January 4, 2016. This decrease constituted the third consecutive double-digit percentage decrease in the annual grant of stock options to our non-employee directors, in each case following high stock appreciation, consistent with the reductions in annual awards to executive officers discussed under "Executive Compensation" below. To the extent they remain unvested and outstanding, stock options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stock options will immediately vest in full.</w:t>
      </w:r>
    </w:p>
    <w:p>
      <w:pPr>
        <w:spacing w:after="0" w:line="3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the extent they remain unvested and outstanding, stock options granted to non-employee directors become fully vested automatically upon a change of control of the Company. Each non-employee director has the right to nullify this acceleration of vesting, in whole or in part, if it would cause the director to pay excise taxes under the requirements of the Internal Revenue Code.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Awards to New Directors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Starting in 2016, each new non-employee director will receive an initial stock option award to purchase a number of shares equal to 5/3rds of the number of shares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underlying the most recent regular annual stock option award to a non-employee director; and, with respect to the annual stock option award to a non-employee director in respect of the first year of his or her service, the number of shares of common stock underlying such annual award will be prorated based on the date as of which the non-employee director first becomes a member of 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Arrangements of the Chairman of the Board of Directors</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stock option grants be made to Dr. Vagelos for calendar years 2000 through 2003 in the amount of the greater of (a) 125,000 shares or (b) 125% of the highest annual option award granted to an officer of the Company.</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2011, the Compensation Committee determined that Dr. Vagelos's target grant would be equal to ten times the annual grant for a non-employee member of the board of directors, setting his target award at 150,000 shares of common stock underlying stock options. In December 2013, 2014, and 2015, the Compensation Committee reduced the award to Dr. Vagelos by 15% each time, in line with the reduction in the annual stock option awards to our executive officers and the reduction in the annual stock option awards to the non-employee directors made in January 2014, 2015, and 2016. On December 16, 2015, the Compensation Committee granted Dr. Vagelos stock options to purchase 92,123 shares of common stock, at an exercise price of $555.67 per share, the fair market value per share of our common stock on the date of grant (determined as the average of the high and low sales price per share of common stock on the NASDAQ Global Select Market on the date of grant). The stock option award granted to Dr. Vagelos vests ratably over four years subject to his continued service and contains change-of-control provisions consistent with those described above for stock option grants to non-employee directors. Pursuant to the terms of his employment agreement, if Dr. Vagelos dies or is disabled during the term of his employment, all stock options granted to him by the Company will immediately become vested and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853440</wp:posOffset>
            </wp:positionV>
            <wp:extent cx="8255" cy="1930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520" w:type="dxa"/>
        <w:tblCellMar>
          <w:top w:w="0" w:type="dxa"/>
          <w:left w:w="0" w:type="dxa"/>
          <w:bottom w:w="0" w:type="dxa"/>
          <w:right w:w="0" w:type="dxa"/>
        </w:tblCellMar>
      </w:tblPr>
      <w:tr>
        <w:trPr>
          <w:trHeight w:val="304"/>
        </w:trPr>
        <w:tc>
          <w:tcPr>
            <w:tcW w:w="1840" w:type="dxa"/>
            <w:vAlign w:val="bottom"/>
          </w:tcPr>
          <w:p>
            <w:pPr>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following table and explanatory footnotes provide information with respect to compensation paid to Dr. Vagelos and each non-employee director for their service in 2015</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in accordance with the policies, plans, and employment agreement described above:</w:t>
      </w:r>
    </w:p>
    <w:p>
      <w:pPr>
        <w:spacing w:after="0" w:line="933"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3580" w:type="dxa"/>
            <w:vAlign w:val="bottom"/>
            <w:shd w:val="clear" w:color="auto" w:fill="5668B0"/>
          </w:tcPr>
          <w:p>
            <w:pPr>
              <w:spacing w:after="0"/>
              <w:rPr>
                <w:sz w:val="24"/>
                <w:szCs w:val="24"/>
                <w:color w:val="auto"/>
              </w:rPr>
            </w:pPr>
          </w:p>
        </w:tc>
        <w:tc>
          <w:tcPr>
            <w:tcW w:w="2280" w:type="dxa"/>
            <w:vAlign w:val="bottom"/>
            <w:shd w:val="clear" w:color="auto" w:fill="5668B0"/>
          </w:tcPr>
          <w:p>
            <w:pPr>
              <w:spacing w:after="0"/>
              <w:rPr>
                <w:sz w:val="24"/>
                <w:szCs w:val="24"/>
                <w:color w:val="auto"/>
              </w:rPr>
            </w:pPr>
          </w:p>
        </w:tc>
        <w:tc>
          <w:tcPr>
            <w:tcW w:w="640" w:type="dxa"/>
            <w:vAlign w:val="bottom"/>
            <w:shd w:val="clear" w:color="auto" w:fill="5668B0"/>
          </w:tcPr>
          <w:p>
            <w:pPr>
              <w:spacing w:after="0"/>
              <w:rPr>
                <w:sz w:val="24"/>
                <w:szCs w:val="24"/>
                <w:color w:val="auto"/>
              </w:rPr>
            </w:pPr>
          </w:p>
        </w:tc>
        <w:tc>
          <w:tcPr>
            <w:tcW w:w="880" w:type="dxa"/>
            <w:vAlign w:val="bottom"/>
            <w:shd w:val="clear" w:color="auto" w:fill="5668B0"/>
          </w:tcPr>
          <w:p>
            <w:pPr>
              <w:spacing w:after="0"/>
              <w:rPr>
                <w:sz w:val="24"/>
                <w:szCs w:val="24"/>
                <w:color w:val="auto"/>
              </w:rPr>
            </w:pPr>
          </w:p>
        </w:tc>
        <w:tc>
          <w:tcPr>
            <w:tcW w:w="1000" w:type="dxa"/>
            <w:vAlign w:val="bottom"/>
            <w:shd w:val="clear" w:color="auto" w:fill="5668B0"/>
          </w:tcPr>
          <w:p>
            <w:pPr>
              <w:spacing w:after="0"/>
              <w:rPr>
                <w:sz w:val="24"/>
                <w:szCs w:val="24"/>
                <w:color w:val="auto"/>
              </w:rPr>
            </w:pPr>
          </w:p>
        </w:tc>
        <w:tc>
          <w:tcPr>
            <w:tcW w:w="104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Change in</w:t>
            </w:r>
          </w:p>
        </w:tc>
        <w:tc>
          <w:tcPr>
            <w:tcW w:w="1100" w:type="dxa"/>
            <w:vAlign w:val="bottom"/>
            <w:shd w:val="clear" w:color="auto" w:fill="5668B0"/>
          </w:tcPr>
          <w:p>
            <w:pPr>
              <w:spacing w:after="0"/>
              <w:rPr>
                <w:sz w:val="24"/>
                <w:szCs w:val="24"/>
                <w:color w:val="auto"/>
              </w:rPr>
            </w:pPr>
          </w:p>
        </w:tc>
        <w:tc>
          <w:tcPr>
            <w:tcW w:w="760" w:type="dxa"/>
            <w:vAlign w:val="bottom"/>
            <w:shd w:val="clear" w:color="auto" w:fill="5668B0"/>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80" w:type="dxa"/>
            <w:vAlign w:val="bottom"/>
            <w:shd w:val="clear" w:color="auto" w:fill="5668B0"/>
          </w:tcPr>
          <w:p>
            <w:pPr>
              <w:spacing w:after="0"/>
              <w:rPr>
                <w:sz w:val="13"/>
                <w:szCs w:val="13"/>
                <w:color w:val="auto"/>
              </w:rPr>
            </w:pPr>
          </w:p>
        </w:tc>
        <w:tc>
          <w:tcPr>
            <w:tcW w:w="2280" w:type="dxa"/>
            <w:vAlign w:val="bottom"/>
            <w:shd w:val="clear" w:color="auto" w:fill="5668B0"/>
          </w:tcPr>
          <w:p>
            <w:pPr>
              <w:spacing w:after="0"/>
              <w:rPr>
                <w:sz w:val="13"/>
                <w:szCs w:val="13"/>
                <w:color w:val="auto"/>
              </w:rPr>
            </w:pPr>
          </w:p>
        </w:tc>
        <w:tc>
          <w:tcPr>
            <w:tcW w:w="640" w:type="dxa"/>
            <w:vAlign w:val="bottom"/>
            <w:shd w:val="clear" w:color="auto" w:fill="5668B0"/>
          </w:tcPr>
          <w:p>
            <w:pPr>
              <w:spacing w:after="0"/>
              <w:rPr>
                <w:sz w:val="13"/>
                <w:szCs w:val="13"/>
                <w:color w:val="auto"/>
              </w:rPr>
            </w:pPr>
          </w:p>
        </w:tc>
        <w:tc>
          <w:tcPr>
            <w:tcW w:w="880" w:type="dxa"/>
            <w:vAlign w:val="bottom"/>
            <w:shd w:val="clear" w:color="auto" w:fill="5668B0"/>
          </w:tcPr>
          <w:p>
            <w:pPr>
              <w:spacing w:after="0"/>
              <w:rPr>
                <w:sz w:val="13"/>
                <w:szCs w:val="13"/>
                <w:color w:val="auto"/>
              </w:rPr>
            </w:pPr>
          </w:p>
        </w:tc>
        <w:tc>
          <w:tcPr>
            <w:tcW w:w="1000" w:type="dxa"/>
            <w:vAlign w:val="bottom"/>
            <w:shd w:val="clear" w:color="auto" w:fill="5668B0"/>
          </w:tcPr>
          <w:p>
            <w:pPr>
              <w:spacing w:after="0"/>
              <w:rPr>
                <w:sz w:val="13"/>
                <w:szCs w:val="13"/>
                <w:color w:val="auto"/>
              </w:rPr>
            </w:pPr>
          </w:p>
        </w:tc>
        <w:tc>
          <w:tcPr>
            <w:tcW w:w="104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pension value</w:t>
            </w:r>
          </w:p>
        </w:tc>
        <w:tc>
          <w:tcPr>
            <w:tcW w:w="1100" w:type="dxa"/>
            <w:vAlign w:val="bottom"/>
            <w:shd w:val="clear" w:color="auto" w:fill="5668B0"/>
          </w:tcPr>
          <w:p>
            <w:pPr>
              <w:spacing w:after="0"/>
              <w:rPr>
                <w:sz w:val="13"/>
                <w:szCs w:val="13"/>
                <w:color w:val="auto"/>
              </w:rPr>
            </w:pPr>
          </w:p>
        </w:tc>
        <w:tc>
          <w:tcPr>
            <w:tcW w:w="760" w:type="dxa"/>
            <w:vAlign w:val="bottom"/>
            <w:shd w:val="clear" w:color="auto" w:fill="5668B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80" w:type="dxa"/>
            <w:vAlign w:val="bottom"/>
            <w:shd w:val="clear" w:color="auto" w:fill="5668B0"/>
          </w:tcPr>
          <w:p>
            <w:pPr>
              <w:spacing w:after="0"/>
              <w:rPr>
                <w:sz w:val="13"/>
                <w:szCs w:val="13"/>
                <w:color w:val="auto"/>
              </w:rPr>
            </w:pPr>
          </w:p>
        </w:tc>
        <w:tc>
          <w:tcPr>
            <w:tcW w:w="2280" w:type="dxa"/>
            <w:vAlign w:val="bottom"/>
            <w:shd w:val="clear" w:color="auto" w:fill="5668B0"/>
          </w:tcPr>
          <w:p>
            <w:pPr>
              <w:jc w:val="center"/>
              <w:ind w:left="1553"/>
              <w:spacing w:after="0"/>
              <w:rPr>
                <w:sz w:val="20"/>
                <w:szCs w:val="20"/>
                <w:color w:val="auto"/>
              </w:rPr>
            </w:pPr>
            <w:r>
              <w:rPr>
                <w:rFonts w:ascii="Arial" w:cs="Arial" w:eastAsia="Arial" w:hAnsi="Arial"/>
                <w:sz w:val="13"/>
                <w:szCs w:val="13"/>
                <w:color w:val="FFFFFE"/>
              </w:rPr>
              <w:t>Fees</w:t>
            </w:r>
          </w:p>
        </w:tc>
        <w:tc>
          <w:tcPr>
            <w:tcW w:w="640" w:type="dxa"/>
            <w:vAlign w:val="bottom"/>
            <w:shd w:val="clear" w:color="auto" w:fill="5668B0"/>
          </w:tcPr>
          <w:p>
            <w:pPr>
              <w:spacing w:after="0"/>
              <w:rPr>
                <w:sz w:val="13"/>
                <w:szCs w:val="13"/>
                <w:color w:val="auto"/>
              </w:rPr>
            </w:pPr>
          </w:p>
        </w:tc>
        <w:tc>
          <w:tcPr>
            <w:tcW w:w="880" w:type="dxa"/>
            <w:vAlign w:val="bottom"/>
            <w:shd w:val="clear" w:color="auto" w:fill="5668B0"/>
          </w:tcPr>
          <w:p>
            <w:pPr>
              <w:spacing w:after="0"/>
              <w:rPr>
                <w:sz w:val="13"/>
                <w:szCs w:val="13"/>
                <w:color w:val="auto"/>
              </w:rPr>
            </w:pPr>
          </w:p>
        </w:tc>
        <w:tc>
          <w:tcPr>
            <w:tcW w:w="100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Non-equity</w:t>
            </w:r>
          </w:p>
        </w:tc>
        <w:tc>
          <w:tcPr>
            <w:tcW w:w="104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and</w:t>
            </w:r>
          </w:p>
        </w:tc>
        <w:tc>
          <w:tcPr>
            <w:tcW w:w="1100" w:type="dxa"/>
            <w:vAlign w:val="bottom"/>
            <w:shd w:val="clear" w:color="auto" w:fill="5668B0"/>
          </w:tcPr>
          <w:p>
            <w:pPr>
              <w:spacing w:after="0"/>
              <w:rPr>
                <w:sz w:val="13"/>
                <w:szCs w:val="13"/>
                <w:color w:val="auto"/>
              </w:rPr>
            </w:pPr>
          </w:p>
        </w:tc>
        <w:tc>
          <w:tcPr>
            <w:tcW w:w="760" w:type="dxa"/>
            <w:vAlign w:val="bottom"/>
            <w:shd w:val="clear" w:color="auto" w:fill="5668B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80" w:type="dxa"/>
            <w:vAlign w:val="bottom"/>
            <w:shd w:val="clear" w:color="auto" w:fill="5668B0"/>
          </w:tcPr>
          <w:p>
            <w:pPr>
              <w:spacing w:after="0"/>
              <w:rPr>
                <w:sz w:val="13"/>
                <w:szCs w:val="13"/>
                <w:color w:val="auto"/>
              </w:rPr>
            </w:pPr>
          </w:p>
        </w:tc>
        <w:tc>
          <w:tcPr>
            <w:tcW w:w="2280" w:type="dxa"/>
            <w:vAlign w:val="bottom"/>
            <w:shd w:val="clear" w:color="auto" w:fill="5668B0"/>
          </w:tcPr>
          <w:p>
            <w:pPr>
              <w:jc w:val="center"/>
              <w:ind w:left="1553"/>
              <w:spacing w:after="0"/>
              <w:rPr>
                <w:sz w:val="20"/>
                <w:szCs w:val="20"/>
                <w:color w:val="auto"/>
              </w:rPr>
            </w:pPr>
            <w:r>
              <w:rPr>
                <w:rFonts w:ascii="Arial" w:cs="Arial" w:eastAsia="Arial" w:hAnsi="Arial"/>
                <w:sz w:val="13"/>
                <w:szCs w:val="13"/>
                <w:color w:val="FFFFFE"/>
              </w:rPr>
              <w:t>earned</w:t>
            </w:r>
          </w:p>
        </w:tc>
        <w:tc>
          <w:tcPr>
            <w:tcW w:w="640" w:type="dxa"/>
            <w:vAlign w:val="bottom"/>
            <w:shd w:val="clear" w:color="auto" w:fill="5668B0"/>
          </w:tcPr>
          <w:p>
            <w:pPr>
              <w:spacing w:after="0"/>
              <w:rPr>
                <w:sz w:val="13"/>
                <w:szCs w:val="13"/>
                <w:color w:val="auto"/>
              </w:rPr>
            </w:pPr>
          </w:p>
        </w:tc>
        <w:tc>
          <w:tcPr>
            <w:tcW w:w="88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Option</w:t>
            </w:r>
          </w:p>
        </w:tc>
        <w:tc>
          <w:tcPr>
            <w:tcW w:w="100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incentive</w:t>
            </w:r>
          </w:p>
        </w:tc>
        <w:tc>
          <w:tcPr>
            <w:tcW w:w="104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non-qualified</w:t>
            </w:r>
          </w:p>
        </w:tc>
        <w:tc>
          <w:tcPr>
            <w:tcW w:w="1100" w:type="dxa"/>
            <w:vAlign w:val="bottom"/>
            <w:shd w:val="clear" w:color="auto" w:fill="5668B0"/>
          </w:tcPr>
          <w:p>
            <w:pPr>
              <w:spacing w:after="0"/>
              <w:rPr>
                <w:sz w:val="13"/>
                <w:szCs w:val="13"/>
                <w:color w:val="auto"/>
              </w:rPr>
            </w:pPr>
          </w:p>
        </w:tc>
        <w:tc>
          <w:tcPr>
            <w:tcW w:w="760" w:type="dxa"/>
            <w:vAlign w:val="bottom"/>
            <w:shd w:val="clear" w:color="auto" w:fill="5668B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80" w:type="dxa"/>
            <w:vAlign w:val="bottom"/>
            <w:shd w:val="clear" w:color="auto" w:fill="5668B0"/>
          </w:tcPr>
          <w:p>
            <w:pPr>
              <w:spacing w:after="0"/>
              <w:rPr>
                <w:sz w:val="13"/>
                <w:szCs w:val="13"/>
                <w:color w:val="auto"/>
              </w:rPr>
            </w:pPr>
          </w:p>
        </w:tc>
        <w:tc>
          <w:tcPr>
            <w:tcW w:w="2280" w:type="dxa"/>
            <w:vAlign w:val="bottom"/>
            <w:shd w:val="clear" w:color="auto" w:fill="5668B0"/>
          </w:tcPr>
          <w:p>
            <w:pPr>
              <w:jc w:val="center"/>
              <w:ind w:left="1553"/>
              <w:spacing w:after="0"/>
              <w:rPr>
                <w:sz w:val="20"/>
                <w:szCs w:val="20"/>
                <w:color w:val="auto"/>
              </w:rPr>
            </w:pPr>
            <w:r>
              <w:rPr>
                <w:rFonts w:ascii="Arial" w:cs="Arial" w:eastAsia="Arial" w:hAnsi="Arial"/>
                <w:sz w:val="13"/>
                <w:szCs w:val="13"/>
                <w:color w:val="FFFFFE"/>
              </w:rPr>
              <w:t>or paid</w:t>
            </w:r>
          </w:p>
        </w:tc>
        <w:tc>
          <w:tcPr>
            <w:tcW w:w="64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Stock</w:t>
            </w:r>
          </w:p>
        </w:tc>
        <w:tc>
          <w:tcPr>
            <w:tcW w:w="88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awards</w:t>
            </w:r>
          </w:p>
        </w:tc>
        <w:tc>
          <w:tcPr>
            <w:tcW w:w="100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plan</w:t>
            </w:r>
          </w:p>
        </w:tc>
        <w:tc>
          <w:tcPr>
            <w:tcW w:w="104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deferred</w:t>
            </w:r>
          </w:p>
        </w:tc>
        <w:tc>
          <w:tcPr>
            <w:tcW w:w="110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All other</w:t>
            </w:r>
          </w:p>
        </w:tc>
        <w:tc>
          <w:tcPr>
            <w:tcW w:w="760" w:type="dxa"/>
            <w:vAlign w:val="bottom"/>
            <w:shd w:val="clear" w:color="auto" w:fill="5668B0"/>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80" w:type="dxa"/>
            <w:vAlign w:val="bottom"/>
            <w:shd w:val="clear" w:color="auto" w:fill="5668B0"/>
          </w:tcPr>
          <w:p>
            <w:pPr>
              <w:spacing w:after="0"/>
              <w:rPr>
                <w:sz w:val="10"/>
                <w:szCs w:val="10"/>
                <w:color w:val="auto"/>
              </w:rPr>
            </w:pPr>
          </w:p>
        </w:tc>
        <w:tc>
          <w:tcPr>
            <w:tcW w:w="2280" w:type="dxa"/>
            <w:vAlign w:val="bottom"/>
            <w:shd w:val="clear" w:color="auto" w:fill="5668B0"/>
          </w:tcPr>
          <w:p>
            <w:pPr>
              <w:jc w:val="center"/>
              <w:ind w:left="1553"/>
              <w:spacing w:after="0" w:line="122" w:lineRule="exact"/>
              <w:rPr>
                <w:sz w:val="20"/>
                <w:szCs w:val="20"/>
                <w:color w:val="auto"/>
              </w:rPr>
            </w:pPr>
            <w:r>
              <w:rPr>
                <w:rFonts w:ascii="Arial" w:cs="Arial" w:eastAsia="Arial" w:hAnsi="Arial"/>
                <w:sz w:val="13"/>
                <w:szCs w:val="13"/>
                <w:color w:val="FFFFFE"/>
              </w:rPr>
              <w:t>in cash</w:t>
            </w:r>
          </w:p>
        </w:tc>
        <w:tc>
          <w:tcPr>
            <w:tcW w:w="640" w:type="dxa"/>
            <w:vAlign w:val="bottom"/>
            <w:shd w:val="clear" w:color="auto" w:fill="5668B0"/>
          </w:tcPr>
          <w:p>
            <w:pPr>
              <w:jc w:val="center"/>
              <w:spacing w:after="0" w:line="122" w:lineRule="exact"/>
              <w:rPr>
                <w:sz w:val="20"/>
                <w:szCs w:val="20"/>
                <w:color w:val="auto"/>
              </w:rPr>
            </w:pPr>
            <w:r>
              <w:rPr>
                <w:rFonts w:ascii="Arial" w:cs="Arial" w:eastAsia="Arial" w:hAnsi="Arial"/>
                <w:sz w:val="13"/>
                <w:szCs w:val="13"/>
                <w:color w:val="FFFFFE"/>
              </w:rPr>
              <w:t>awards</w:t>
            </w:r>
          </w:p>
        </w:tc>
        <w:tc>
          <w:tcPr>
            <w:tcW w:w="880" w:type="dxa"/>
            <w:vAlign w:val="bottom"/>
            <w:shd w:val="clear" w:color="auto" w:fill="5668B0"/>
          </w:tcPr>
          <w:p>
            <w:pPr>
              <w:jc w:val="right"/>
              <w:ind w:right="294"/>
              <w:spacing w:after="0" w:line="122" w:lineRule="exact"/>
              <w:rPr>
                <w:sz w:val="20"/>
                <w:szCs w:val="20"/>
                <w:color w:val="auto"/>
              </w:rPr>
            </w:pPr>
            <w:r>
              <w:rPr>
                <w:rFonts w:ascii="Arial" w:cs="Arial" w:eastAsia="Arial" w:hAnsi="Arial"/>
                <w:sz w:val="13"/>
                <w:szCs w:val="13"/>
                <w:color w:val="FFFFFE"/>
              </w:rPr>
              <w:t>($)</w:t>
            </w:r>
          </w:p>
        </w:tc>
        <w:tc>
          <w:tcPr>
            <w:tcW w:w="1000" w:type="dxa"/>
            <w:vAlign w:val="bottom"/>
            <w:shd w:val="clear" w:color="auto" w:fill="5668B0"/>
          </w:tcPr>
          <w:p>
            <w:pPr>
              <w:jc w:val="center"/>
              <w:spacing w:after="0" w:line="122" w:lineRule="exact"/>
              <w:rPr>
                <w:sz w:val="20"/>
                <w:szCs w:val="20"/>
                <w:color w:val="auto"/>
              </w:rPr>
            </w:pPr>
            <w:r>
              <w:rPr>
                <w:rFonts w:ascii="Arial" w:cs="Arial" w:eastAsia="Arial" w:hAnsi="Arial"/>
                <w:sz w:val="13"/>
                <w:szCs w:val="13"/>
                <w:color w:val="FFFFFE"/>
              </w:rPr>
              <w:t>compensation</w:t>
            </w:r>
          </w:p>
        </w:tc>
        <w:tc>
          <w:tcPr>
            <w:tcW w:w="1040" w:type="dxa"/>
            <w:vAlign w:val="bottom"/>
            <w:shd w:val="clear" w:color="auto" w:fill="5668B0"/>
          </w:tcPr>
          <w:p>
            <w:pPr>
              <w:jc w:val="center"/>
              <w:spacing w:after="0" w:line="122" w:lineRule="exact"/>
              <w:rPr>
                <w:sz w:val="20"/>
                <w:szCs w:val="20"/>
                <w:color w:val="auto"/>
              </w:rPr>
            </w:pPr>
            <w:r>
              <w:rPr>
                <w:rFonts w:ascii="Arial" w:cs="Arial" w:eastAsia="Arial" w:hAnsi="Arial"/>
                <w:sz w:val="13"/>
                <w:szCs w:val="13"/>
                <w:color w:val="FFFFFE"/>
              </w:rPr>
              <w:t>compensation</w:t>
            </w:r>
          </w:p>
        </w:tc>
        <w:tc>
          <w:tcPr>
            <w:tcW w:w="1100" w:type="dxa"/>
            <w:vAlign w:val="bottom"/>
            <w:shd w:val="clear" w:color="auto" w:fill="5668B0"/>
          </w:tcPr>
          <w:p>
            <w:pPr>
              <w:jc w:val="center"/>
              <w:spacing w:after="0" w:line="122" w:lineRule="exact"/>
              <w:rPr>
                <w:sz w:val="20"/>
                <w:szCs w:val="20"/>
                <w:color w:val="auto"/>
              </w:rPr>
            </w:pPr>
            <w:r>
              <w:rPr>
                <w:rFonts w:ascii="Arial" w:cs="Arial" w:eastAsia="Arial" w:hAnsi="Arial"/>
                <w:sz w:val="13"/>
                <w:szCs w:val="13"/>
                <w:color w:val="FFFFFE"/>
              </w:rPr>
              <w:t>compensation</w:t>
            </w:r>
          </w:p>
        </w:tc>
        <w:tc>
          <w:tcPr>
            <w:tcW w:w="760" w:type="dxa"/>
            <w:vAlign w:val="bottom"/>
            <w:shd w:val="clear" w:color="auto" w:fill="5668B0"/>
          </w:tcPr>
          <w:p>
            <w:pPr>
              <w:jc w:val="right"/>
              <w:ind w:right="153"/>
              <w:spacing w:after="0" w:line="122" w:lineRule="exact"/>
              <w:rPr>
                <w:sz w:val="20"/>
                <w:szCs w:val="20"/>
                <w:color w:val="auto"/>
              </w:rPr>
            </w:pPr>
            <w:r>
              <w:rPr>
                <w:rFonts w:ascii="Arial" w:cs="Arial" w:eastAsia="Arial" w:hAnsi="Arial"/>
                <w:sz w:val="13"/>
                <w:szCs w:val="13"/>
                <w:color w:val="FFFFFE"/>
              </w:rPr>
              <w:t>Total</w:t>
            </w:r>
          </w:p>
        </w:tc>
        <w:tc>
          <w:tcPr>
            <w:tcW w:w="0" w:type="dxa"/>
            <w:vAlign w:val="bottom"/>
          </w:tcPr>
          <w:p>
            <w:pPr>
              <w:spacing w:after="0"/>
              <w:rPr>
                <w:sz w:val="1"/>
                <w:szCs w:val="1"/>
                <w:color w:val="auto"/>
              </w:rPr>
            </w:pPr>
          </w:p>
        </w:tc>
      </w:tr>
      <w:tr>
        <w:trPr>
          <w:trHeight w:val="122"/>
        </w:trPr>
        <w:tc>
          <w:tcPr>
            <w:tcW w:w="3580" w:type="dxa"/>
            <w:vAlign w:val="bottom"/>
            <w:vMerge w:val="restart"/>
            <w:shd w:val="clear" w:color="auto" w:fill="5668B0"/>
          </w:tcPr>
          <w:p>
            <w:pPr>
              <w:spacing w:after="0"/>
              <w:rPr>
                <w:sz w:val="20"/>
                <w:szCs w:val="20"/>
                <w:color w:val="auto"/>
              </w:rPr>
            </w:pPr>
            <w:r>
              <w:rPr>
                <w:rFonts w:ascii="Arial" w:cs="Arial" w:eastAsia="Arial" w:hAnsi="Arial"/>
                <w:sz w:val="13"/>
                <w:szCs w:val="13"/>
                <w:color w:val="FFFFFE"/>
              </w:rPr>
              <w:t>Name</w:t>
            </w:r>
          </w:p>
        </w:tc>
        <w:tc>
          <w:tcPr>
            <w:tcW w:w="2280" w:type="dxa"/>
            <w:vAlign w:val="bottom"/>
            <w:vMerge w:val="restart"/>
            <w:shd w:val="clear" w:color="auto" w:fill="5668B0"/>
          </w:tcPr>
          <w:p>
            <w:pPr>
              <w:jc w:val="center"/>
              <w:ind w:left="1533"/>
              <w:spacing w:after="0"/>
              <w:rPr>
                <w:sz w:val="20"/>
                <w:szCs w:val="20"/>
                <w:color w:val="auto"/>
              </w:rPr>
            </w:pPr>
            <w:r>
              <w:rPr>
                <w:rFonts w:ascii="Arial" w:cs="Arial" w:eastAsia="Arial" w:hAnsi="Arial"/>
                <w:sz w:val="13"/>
                <w:szCs w:val="13"/>
                <w:color w:val="FFFFFE"/>
              </w:rPr>
              <w:t>($)</w:t>
            </w:r>
          </w:p>
        </w:tc>
        <w:tc>
          <w:tcPr>
            <w:tcW w:w="640" w:type="dxa"/>
            <w:vAlign w:val="bottom"/>
            <w:vMerge w:val="restart"/>
            <w:shd w:val="clear" w:color="auto" w:fill="5668B0"/>
          </w:tcPr>
          <w:p>
            <w:pPr>
              <w:jc w:val="center"/>
              <w:spacing w:after="0"/>
              <w:rPr>
                <w:sz w:val="20"/>
                <w:szCs w:val="20"/>
                <w:color w:val="auto"/>
              </w:rPr>
            </w:pPr>
            <w:r>
              <w:rPr>
                <w:rFonts w:ascii="Arial" w:cs="Arial" w:eastAsia="Arial" w:hAnsi="Arial"/>
                <w:sz w:val="13"/>
                <w:szCs w:val="13"/>
                <w:color w:val="FFFFFE"/>
              </w:rPr>
              <w:t>($)</w:t>
            </w:r>
          </w:p>
        </w:tc>
        <w:tc>
          <w:tcPr>
            <w:tcW w:w="880" w:type="dxa"/>
            <w:vAlign w:val="bottom"/>
            <w:shd w:val="clear" w:color="auto" w:fill="5668B0"/>
          </w:tcPr>
          <w:p>
            <w:pPr>
              <w:jc w:val="right"/>
              <w:ind w:right="294"/>
              <w:spacing w:after="0"/>
              <w:rPr>
                <w:sz w:val="20"/>
                <w:szCs w:val="20"/>
                <w:color w:val="auto"/>
              </w:rPr>
            </w:pPr>
            <w:r>
              <w:rPr>
                <w:rFonts w:ascii="Arial" w:cs="Arial" w:eastAsia="Arial" w:hAnsi="Arial"/>
                <w:sz w:val="10"/>
                <w:szCs w:val="10"/>
                <w:color w:val="FFFFFE"/>
              </w:rPr>
              <w:t>1,2</w:t>
            </w:r>
          </w:p>
        </w:tc>
        <w:tc>
          <w:tcPr>
            <w:tcW w:w="1000" w:type="dxa"/>
            <w:vAlign w:val="bottom"/>
            <w:vMerge w:val="restart"/>
            <w:shd w:val="clear" w:color="auto" w:fill="5668B0"/>
          </w:tcPr>
          <w:p>
            <w:pPr>
              <w:jc w:val="center"/>
              <w:spacing w:after="0"/>
              <w:rPr>
                <w:sz w:val="20"/>
                <w:szCs w:val="20"/>
                <w:color w:val="auto"/>
              </w:rPr>
            </w:pPr>
            <w:r>
              <w:rPr>
                <w:rFonts w:ascii="Arial" w:cs="Arial" w:eastAsia="Arial" w:hAnsi="Arial"/>
                <w:sz w:val="13"/>
                <w:szCs w:val="13"/>
                <w:color w:val="FFFFFE"/>
              </w:rPr>
              <w:t>($)</w:t>
            </w:r>
          </w:p>
        </w:tc>
        <w:tc>
          <w:tcPr>
            <w:tcW w:w="1040" w:type="dxa"/>
            <w:vAlign w:val="bottom"/>
            <w:vMerge w:val="restart"/>
            <w:shd w:val="clear" w:color="auto" w:fill="5668B0"/>
          </w:tcPr>
          <w:p>
            <w:pPr>
              <w:jc w:val="center"/>
              <w:spacing w:after="0"/>
              <w:rPr>
                <w:sz w:val="20"/>
                <w:szCs w:val="20"/>
                <w:color w:val="auto"/>
              </w:rPr>
            </w:pPr>
            <w:r>
              <w:rPr>
                <w:rFonts w:ascii="Arial" w:cs="Arial" w:eastAsia="Arial" w:hAnsi="Arial"/>
                <w:sz w:val="13"/>
                <w:szCs w:val="13"/>
                <w:color w:val="FFFFFE"/>
              </w:rPr>
              <w:t>earnings</w:t>
            </w:r>
          </w:p>
        </w:tc>
        <w:tc>
          <w:tcPr>
            <w:tcW w:w="1100" w:type="dxa"/>
            <w:vAlign w:val="bottom"/>
            <w:vMerge w:val="restart"/>
            <w:shd w:val="clear" w:color="auto" w:fill="5668B0"/>
          </w:tcPr>
          <w:p>
            <w:pPr>
              <w:jc w:val="center"/>
              <w:spacing w:after="0"/>
              <w:rPr>
                <w:sz w:val="20"/>
                <w:szCs w:val="20"/>
                <w:color w:val="auto"/>
              </w:rPr>
            </w:pPr>
            <w:r>
              <w:rPr>
                <w:rFonts w:ascii="Arial" w:cs="Arial" w:eastAsia="Arial" w:hAnsi="Arial"/>
                <w:sz w:val="13"/>
                <w:szCs w:val="13"/>
                <w:color w:val="FFFFFE"/>
              </w:rPr>
              <w:t>($)</w:t>
            </w:r>
          </w:p>
        </w:tc>
        <w:tc>
          <w:tcPr>
            <w:tcW w:w="760" w:type="dxa"/>
            <w:vAlign w:val="bottom"/>
            <w:vMerge w:val="restart"/>
            <w:shd w:val="clear" w:color="auto" w:fill="5668B0"/>
          </w:tcPr>
          <w:p>
            <w:pPr>
              <w:jc w:val="right"/>
              <w:ind w:right="213"/>
              <w:spacing w:after="0"/>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60"/>
        </w:trPr>
        <w:tc>
          <w:tcPr>
            <w:tcW w:w="3580" w:type="dxa"/>
            <w:vAlign w:val="bottom"/>
            <w:vMerge w:val="continue"/>
            <w:shd w:val="clear" w:color="auto" w:fill="5668B0"/>
          </w:tcPr>
          <w:p>
            <w:pPr>
              <w:spacing w:after="0"/>
              <w:rPr>
                <w:sz w:val="5"/>
                <w:szCs w:val="5"/>
                <w:color w:val="auto"/>
              </w:rPr>
            </w:pPr>
          </w:p>
        </w:tc>
        <w:tc>
          <w:tcPr>
            <w:tcW w:w="2280" w:type="dxa"/>
            <w:vAlign w:val="bottom"/>
            <w:vMerge w:val="continue"/>
            <w:shd w:val="clear" w:color="auto" w:fill="5668B0"/>
          </w:tcPr>
          <w:p>
            <w:pPr>
              <w:spacing w:after="0"/>
              <w:rPr>
                <w:sz w:val="5"/>
                <w:szCs w:val="5"/>
                <w:color w:val="auto"/>
              </w:rPr>
            </w:pPr>
          </w:p>
        </w:tc>
        <w:tc>
          <w:tcPr>
            <w:tcW w:w="640" w:type="dxa"/>
            <w:vAlign w:val="bottom"/>
            <w:vMerge w:val="continue"/>
            <w:shd w:val="clear" w:color="auto" w:fill="5668B0"/>
          </w:tcPr>
          <w:p>
            <w:pPr>
              <w:spacing w:after="0"/>
              <w:rPr>
                <w:sz w:val="5"/>
                <w:szCs w:val="5"/>
                <w:color w:val="auto"/>
              </w:rPr>
            </w:pPr>
          </w:p>
        </w:tc>
        <w:tc>
          <w:tcPr>
            <w:tcW w:w="880" w:type="dxa"/>
            <w:vAlign w:val="bottom"/>
            <w:shd w:val="clear" w:color="auto" w:fill="5668B0"/>
          </w:tcPr>
          <w:p>
            <w:pPr>
              <w:spacing w:after="0"/>
              <w:rPr>
                <w:sz w:val="5"/>
                <w:szCs w:val="5"/>
                <w:color w:val="auto"/>
              </w:rPr>
            </w:pPr>
          </w:p>
        </w:tc>
        <w:tc>
          <w:tcPr>
            <w:tcW w:w="1000" w:type="dxa"/>
            <w:vAlign w:val="bottom"/>
            <w:vMerge w:val="continue"/>
            <w:shd w:val="clear" w:color="auto" w:fill="5668B0"/>
          </w:tcPr>
          <w:p>
            <w:pPr>
              <w:spacing w:after="0"/>
              <w:rPr>
                <w:sz w:val="5"/>
                <w:szCs w:val="5"/>
                <w:color w:val="auto"/>
              </w:rPr>
            </w:pPr>
          </w:p>
        </w:tc>
        <w:tc>
          <w:tcPr>
            <w:tcW w:w="1040" w:type="dxa"/>
            <w:vAlign w:val="bottom"/>
            <w:vMerge w:val="continue"/>
            <w:shd w:val="clear" w:color="auto" w:fill="5668B0"/>
          </w:tcPr>
          <w:p>
            <w:pPr>
              <w:spacing w:after="0"/>
              <w:rPr>
                <w:sz w:val="5"/>
                <w:szCs w:val="5"/>
                <w:color w:val="auto"/>
              </w:rPr>
            </w:pPr>
          </w:p>
        </w:tc>
        <w:tc>
          <w:tcPr>
            <w:tcW w:w="1100" w:type="dxa"/>
            <w:vAlign w:val="bottom"/>
            <w:vMerge w:val="continue"/>
            <w:shd w:val="clear" w:color="auto" w:fill="5668B0"/>
          </w:tcPr>
          <w:p>
            <w:pPr>
              <w:spacing w:after="0"/>
              <w:rPr>
                <w:sz w:val="5"/>
                <w:szCs w:val="5"/>
                <w:color w:val="auto"/>
              </w:rPr>
            </w:pPr>
          </w:p>
        </w:tc>
        <w:tc>
          <w:tcPr>
            <w:tcW w:w="760" w:type="dxa"/>
            <w:vAlign w:val="bottom"/>
            <w:vMerge w:val="continue"/>
            <w:shd w:val="clear" w:color="auto" w:fill="5668B0"/>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5668B0"/>
          </w:tcPr>
          <w:p>
            <w:pPr>
              <w:spacing w:after="0"/>
              <w:rPr>
                <w:sz w:val="20"/>
                <w:szCs w:val="20"/>
                <w:color w:val="auto"/>
              </w:rPr>
            </w:pPr>
            <w:r>
              <w:rPr>
                <w:rFonts w:ascii="Arial" w:cs="Arial" w:eastAsia="Arial" w:hAnsi="Arial"/>
                <w:sz w:val="13"/>
                <w:szCs w:val="13"/>
                <w:color w:val="FFFFFE"/>
              </w:rPr>
              <w:t>(a)</w:t>
            </w:r>
          </w:p>
        </w:tc>
        <w:tc>
          <w:tcPr>
            <w:tcW w:w="2280" w:type="dxa"/>
            <w:vAlign w:val="bottom"/>
            <w:shd w:val="clear" w:color="auto" w:fill="5668B0"/>
          </w:tcPr>
          <w:p>
            <w:pPr>
              <w:jc w:val="center"/>
              <w:ind w:left="1533"/>
              <w:spacing w:after="0"/>
              <w:rPr>
                <w:sz w:val="20"/>
                <w:szCs w:val="20"/>
                <w:color w:val="auto"/>
              </w:rPr>
            </w:pPr>
            <w:r>
              <w:rPr>
                <w:rFonts w:ascii="Arial" w:cs="Arial" w:eastAsia="Arial" w:hAnsi="Arial"/>
                <w:sz w:val="13"/>
                <w:szCs w:val="13"/>
                <w:color w:val="FFFFFE"/>
              </w:rPr>
              <w:t>(b)</w:t>
            </w:r>
          </w:p>
        </w:tc>
        <w:tc>
          <w:tcPr>
            <w:tcW w:w="64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(c)</w:t>
            </w:r>
          </w:p>
        </w:tc>
        <w:tc>
          <w:tcPr>
            <w:tcW w:w="88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(d)</w:t>
            </w:r>
          </w:p>
        </w:tc>
        <w:tc>
          <w:tcPr>
            <w:tcW w:w="100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(e)</w:t>
            </w:r>
          </w:p>
        </w:tc>
        <w:tc>
          <w:tcPr>
            <w:tcW w:w="1040" w:type="dxa"/>
            <w:vAlign w:val="bottom"/>
            <w:shd w:val="clear" w:color="auto" w:fill="5668B0"/>
          </w:tcPr>
          <w:p>
            <w:pPr>
              <w:jc w:val="center"/>
              <w:spacing w:after="0"/>
              <w:rPr>
                <w:sz w:val="20"/>
                <w:szCs w:val="20"/>
                <w:color w:val="auto"/>
              </w:rPr>
            </w:pPr>
            <w:r>
              <w:rPr>
                <w:rFonts w:ascii="Arial" w:cs="Arial" w:eastAsia="Arial" w:hAnsi="Arial"/>
                <w:sz w:val="13"/>
                <w:szCs w:val="13"/>
                <w:color w:val="FFFFFE"/>
                <w:w w:val="97"/>
              </w:rPr>
              <w:t>(f)</w:t>
            </w:r>
          </w:p>
        </w:tc>
        <w:tc>
          <w:tcPr>
            <w:tcW w:w="110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(g)</w:t>
            </w:r>
          </w:p>
        </w:tc>
        <w:tc>
          <w:tcPr>
            <w:tcW w:w="760" w:type="dxa"/>
            <w:vAlign w:val="bottom"/>
            <w:shd w:val="clear" w:color="auto" w:fill="5668B0"/>
          </w:tcPr>
          <w:p>
            <w:pPr>
              <w:jc w:val="right"/>
              <w:ind w:right="213"/>
              <w:spacing w:after="0"/>
              <w:rPr>
                <w:sz w:val="20"/>
                <w:szCs w:val="20"/>
                <w:color w:val="auto"/>
              </w:rPr>
            </w:pPr>
            <w:r>
              <w:rPr>
                <w:rFonts w:ascii="Arial" w:cs="Arial" w:eastAsia="Arial" w:hAnsi="Arial"/>
                <w:sz w:val="13"/>
                <w:szCs w:val="13"/>
                <w:color w:val="FFFFFE"/>
              </w:rPr>
              <w:t>(h)</w:t>
            </w:r>
          </w:p>
        </w:tc>
        <w:tc>
          <w:tcPr>
            <w:tcW w:w="0" w:type="dxa"/>
            <w:vAlign w:val="bottom"/>
          </w:tcPr>
          <w:p>
            <w:pPr>
              <w:spacing w:after="0"/>
              <w:rPr>
                <w:sz w:val="1"/>
                <w:szCs w:val="1"/>
                <w:color w:val="auto"/>
              </w:rPr>
            </w:pPr>
          </w:p>
        </w:tc>
      </w:tr>
      <w:tr>
        <w:trPr>
          <w:trHeight w:val="137"/>
        </w:trPr>
        <w:tc>
          <w:tcPr>
            <w:tcW w:w="3580" w:type="dxa"/>
            <w:vAlign w:val="bottom"/>
            <w:shd w:val="clear" w:color="auto" w:fill="5668B0"/>
          </w:tcPr>
          <w:p>
            <w:pPr>
              <w:spacing w:after="0"/>
              <w:rPr>
                <w:sz w:val="11"/>
                <w:szCs w:val="11"/>
                <w:color w:val="auto"/>
              </w:rPr>
            </w:pPr>
          </w:p>
        </w:tc>
        <w:tc>
          <w:tcPr>
            <w:tcW w:w="2280" w:type="dxa"/>
            <w:vAlign w:val="bottom"/>
            <w:shd w:val="clear" w:color="auto" w:fill="5668B0"/>
          </w:tcPr>
          <w:p>
            <w:pPr>
              <w:spacing w:after="0"/>
              <w:rPr>
                <w:sz w:val="11"/>
                <w:szCs w:val="11"/>
                <w:color w:val="auto"/>
              </w:rPr>
            </w:pPr>
          </w:p>
        </w:tc>
        <w:tc>
          <w:tcPr>
            <w:tcW w:w="640" w:type="dxa"/>
            <w:vAlign w:val="bottom"/>
            <w:shd w:val="clear" w:color="auto" w:fill="5668B0"/>
          </w:tcPr>
          <w:p>
            <w:pPr>
              <w:spacing w:after="0"/>
              <w:rPr>
                <w:sz w:val="11"/>
                <w:szCs w:val="11"/>
                <w:color w:val="auto"/>
              </w:rPr>
            </w:pPr>
          </w:p>
        </w:tc>
        <w:tc>
          <w:tcPr>
            <w:tcW w:w="880" w:type="dxa"/>
            <w:vAlign w:val="bottom"/>
            <w:shd w:val="clear" w:color="auto" w:fill="5668B0"/>
          </w:tcPr>
          <w:p>
            <w:pPr>
              <w:spacing w:after="0"/>
              <w:rPr>
                <w:sz w:val="11"/>
                <w:szCs w:val="11"/>
                <w:color w:val="auto"/>
              </w:rPr>
            </w:pPr>
          </w:p>
        </w:tc>
        <w:tc>
          <w:tcPr>
            <w:tcW w:w="1000" w:type="dxa"/>
            <w:vAlign w:val="bottom"/>
            <w:shd w:val="clear" w:color="auto" w:fill="5668B0"/>
          </w:tcPr>
          <w:p>
            <w:pPr>
              <w:spacing w:after="0"/>
              <w:rPr>
                <w:sz w:val="11"/>
                <w:szCs w:val="11"/>
                <w:color w:val="auto"/>
              </w:rPr>
            </w:pPr>
          </w:p>
        </w:tc>
        <w:tc>
          <w:tcPr>
            <w:tcW w:w="1040" w:type="dxa"/>
            <w:vAlign w:val="bottom"/>
            <w:shd w:val="clear" w:color="auto" w:fill="5668B0"/>
          </w:tcPr>
          <w:p>
            <w:pPr>
              <w:spacing w:after="0"/>
              <w:rPr>
                <w:sz w:val="11"/>
                <w:szCs w:val="11"/>
                <w:color w:val="auto"/>
              </w:rPr>
            </w:pPr>
          </w:p>
        </w:tc>
        <w:tc>
          <w:tcPr>
            <w:tcW w:w="1100" w:type="dxa"/>
            <w:vAlign w:val="bottom"/>
            <w:shd w:val="clear" w:color="auto" w:fill="5668B0"/>
          </w:tcPr>
          <w:p>
            <w:pPr>
              <w:spacing w:after="0"/>
              <w:rPr>
                <w:sz w:val="11"/>
                <w:szCs w:val="11"/>
                <w:color w:val="auto"/>
              </w:rPr>
            </w:pPr>
          </w:p>
        </w:tc>
        <w:tc>
          <w:tcPr>
            <w:tcW w:w="760" w:type="dxa"/>
            <w:vAlign w:val="bottom"/>
            <w:shd w:val="clear" w:color="auto" w:fill="5668B0"/>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580" w:type="dxa"/>
            <w:vAlign w:val="bottom"/>
            <w:shd w:val="clear" w:color="auto" w:fill="E6ECF8"/>
          </w:tcPr>
          <w:p>
            <w:pPr>
              <w:spacing w:after="0"/>
              <w:rPr>
                <w:sz w:val="20"/>
                <w:szCs w:val="20"/>
                <w:color w:val="auto"/>
              </w:rPr>
            </w:pPr>
            <w:r>
              <w:rPr>
                <w:rFonts w:ascii="Arial" w:cs="Arial" w:eastAsia="Arial" w:hAnsi="Arial"/>
                <w:sz w:val="13"/>
                <w:szCs w:val="13"/>
                <w:color w:val="auto"/>
              </w:rPr>
              <w:t>Charles A. Baker</w:t>
            </w:r>
          </w:p>
        </w:tc>
        <w:tc>
          <w:tcPr>
            <w:tcW w:w="2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75,000</w:t>
            </w:r>
          </w:p>
        </w:tc>
        <w:tc>
          <w:tcPr>
            <w:tcW w:w="6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E6ECF8"/>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6ECF8"/>
          </w:tcPr>
          <w:p>
            <w:pPr>
              <w:jc w:val="right"/>
              <w:ind w:right="75"/>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2,061,604</w:t>
            </w:r>
          </w:p>
        </w:tc>
        <w:tc>
          <w:tcPr>
            <w:tcW w:w="0" w:type="dxa"/>
            <w:vAlign w:val="bottom"/>
          </w:tcPr>
          <w:p>
            <w:pPr>
              <w:spacing w:after="0"/>
              <w:rPr>
                <w:sz w:val="1"/>
                <w:szCs w:val="1"/>
                <w:color w:val="auto"/>
              </w:rPr>
            </w:pPr>
          </w:p>
        </w:tc>
      </w:tr>
      <w:tr>
        <w:trPr>
          <w:trHeight w:val="152"/>
        </w:trPr>
        <w:tc>
          <w:tcPr>
            <w:tcW w:w="3580" w:type="dxa"/>
            <w:vAlign w:val="bottom"/>
            <w:shd w:val="clear" w:color="auto" w:fill="D0DBEF"/>
          </w:tcPr>
          <w:p>
            <w:pPr>
              <w:spacing w:after="0"/>
              <w:rPr>
                <w:sz w:val="20"/>
                <w:szCs w:val="20"/>
                <w:color w:val="auto"/>
              </w:rPr>
            </w:pPr>
            <w:r>
              <w:rPr>
                <w:rFonts w:ascii="Arial" w:cs="Arial" w:eastAsia="Arial" w:hAnsi="Arial"/>
                <w:sz w:val="13"/>
                <w:szCs w:val="13"/>
                <w:color w:val="auto"/>
              </w:rPr>
              <w:t>Michael S. Brown, M.D.</w:t>
            </w:r>
          </w:p>
        </w:tc>
        <w:tc>
          <w:tcPr>
            <w:tcW w:w="228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75,000</w:t>
            </w:r>
          </w:p>
        </w:tc>
        <w:tc>
          <w:tcPr>
            <w:tcW w:w="64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D0DBEF"/>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0DBEF"/>
          </w:tcPr>
          <w:p>
            <w:pPr>
              <w:jc w:val="right"/>
              <w:ind w:right="15"/>
              <w:spacing w:after="0" w:line="152" w:lineRule="exact"/>
              <w:rPr>
                <w:sz w:val="20"/>
                <w:szCs w:val="20"/>
                <w:color w:val="auto"/>
              </w:rPr>
            </w:pPr>
            <w:r>
              <w:rPr>
                <w:rFonts w:ascii="Arial" w:cs="Arial" w:eastAsia="Arial" w:hAnsi="Arial"/>
                <w:sz w:val="12"/>
                <w:szCs w:val="12"/>
                <w:color w:val="auto"/>
              </w:rPr>
              <w:t>5,000</w:t>
            </w:r>
            <w:r>
              <w:rPr>
                <w:rFonts w:ascii="Arial" w:cs="Arial" w:eastAsia="Arial" w:hAnsi="Arial"/>
                <w:sz w:val="17"/>
                <w:szCs w:val="17"/>
                <w:color w:val="5668B0"/>
                <w:vertAlign w:val="superscript"/>
              </w:rPr>
              <w:t>3</w:t>
            </w:r>
          </w:p>
        </w:tc>
        <w:tc>
          <w:tcPr>
            <w:tcW w:w="7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2,066,604</w:t>
            </w:r>
          </w:p>
        </w:tc>
        <w:tc>
          <w:tcPr>
            <w:tcW w:w="0" w:type="dxa"/>
            <w:vAlign w:val="bottom"/>
          </w:tcPr>
          <w:p>
            <w:pPr>
              <w:spacing w:after="0"/>
              <w:rPr>
                <w:sz w:val="1"/>
                <w:szCs w:val="1"/>
                <w:color w:val="auto"/>
              </w:rPr>
            </w:pPr>
          </w:p>
        </w:tc>
      </w:tr>
      <w:tr>
        <w:trPr>
          <w:trHeight w:val="177"/>
        </w:trPr>
        <w:tc>
          <w:tcPr>
            <w:tcW w:w="3580" w:type="dxa"/>
            <w:vAlign w:val="bottom"/>
            <w:shd w:val="clear" w:color="auto" w:fill="E6ECF8"/>
          </w:tcPr>
          <w:p>
            <w:pPr>
              <w:spacing w:after="0" w:line="177" w:lineRule="exact"/>
              <w:rPr>
                <w:sz w:val="20"/>
                <w:szCs w:val="20"/>
                <w:color w:val="auto"/>
              </w:rPr>
            </w:pPr>
            <w:r>
              <w:rPr>
                <w:rFonts w:ascii="Arial" w:cs="Arial" w:eastAsia="Arial" w:hAnsi="Arial"/>
                <w:sz w:val="13"/>
                <w:szCs w:val="13"/>
                <w:color w:val="auto"/>
              </w:rPr>
              <w:t xml:space="preserve">Alfred G. Gilman, M.D., Ph.D. </w:t>
            </w:r>
            <w:r>
              <w:rPr>
                <w:rFonts w:ascii="Arial" w:cs="Arial" w:eastAsia="Arial" w:hAnsi="Arial"/>
                <w:sz w:val="20"/>
                <w:szCs w:val="20"/>
                <w:color w:val="5668B0"/>
                <w:vertAlign w:val="superscript"/>
              </w:rPr>
              <w:t>4</w:t>
            </w:r>
          </w:p>
        </w:tc>
        <w:tc>
          <w:tcPr>
            <w:tcW w:w="2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75,000</w:t>
            </w:r>
          </w:p>
        </w:tc>
        <w:tc>
          <w:tcPr>
            <w:tcW w:w="6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E6ECF8"/>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6ECF8"/>
          </w:tcPr>
          <w:p>
            <w:pPr>
              <w:jc w:val="right"/>
              <w:ind w:right="75"/>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2,061,604</w:t>
            </w:r>
          </w:p>
        </w:tc>
        <w:tc>
          <w:tcPr>
            <w:tcW w:w="0" w:type="dxa"/>
            <w:vAlign w:val="bottom"/>
          </w:tcPr>
          <w:p>
            <w:pPr>
              <w:spacing w:after="0"/>
              <w:rPr>
                <w:sz w:val="1"/>
                <w:szCs w:val="1"/>
                <w:color w:val="auto"/>
              </w:rPr>
            </w:pPr>
          </w:p>
        </w:tc>
      </w:tr>
      <w:tr>
        <w:trPr>
          <w:trHeight w:val="152"/>
        </w:trPr>
        <w:tc>
          <w:tcPr>
            <w:tcW w:w="3580" w:type="dxa"/>
            <w:vAlign w:val="bottom"/>
            <w:shd w:val="clear" w:color="auto" w:fill="D0DBEF"/>
          </w:tcPr>
          <w:p>
            <w:pPr>
              <w:spacing w:after="0"/>
              <w:rPr>
                <w:sz w:val="20"/>
                <w:szCs w:val="20"/>
                <w:color w:val="auto"/>
              </w:rPr>
            </w:pPr>
            <w:r>
              <w:rPr>
                <w:rFonts w:ascii="Arial" w:cs="Arial" w:eastAsia="Arial" w:hAnsi="Arial"/>
                <w:sz w:val="13"/>
                <w:szCs w:val="13"/>
                <w:color w:val="auto"/>
              </w:rPr>
              <w:t>Joseph L. Goldstein, M.D.</w:t>
            </w:r>
          </w:p>
        </w:tc>
        <w:tc>
          <w:tcPr>
            <w:tcW w:w="228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75,000</w:t>
            </w:r>
          </w:p>
        </w:tc>
        <w:tc>
          <w:tcPr>
            <w:tcW w:w="64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D0DBEF"/>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0DBEF"/>
          </w:tcPr>
          <w:p>
            <w:pPr>
              <w:jc w:val="right"/>
              <w:ind w:right="75"/>
              <w:spacing w:after="0"/>
              <w:rPr>
                <w:sz w:val="20"/>
                <w:szCs w:val="20"/>
                <w:color w:val="auto"/>
              </w:rPr>
            </w:pPr>
            <w:r>
              <w:rPr>
                <w:rFonts w:ascii="Arial" w:cs="Arial" w:eastAsia="Arial" w:hAnsi="Arial"/>
                <w:sz w:val="13"/>
                <w:szCs w:val="13"/>
                <w:color w:val="auto"/>
              </w:rPr>
              <w:t>–</w:t>
            </w:r>
          </w:p>
        </w:tc>
        <w:tc>
          <w:tcPr>
            <w:tcW w:w="7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2,061,604</w:t>
            </w:r>
          </w:p>
        </w:tc>
        <w:tc>
          <w:tcPr>
            <w:tcW w:w="0" w:type="dxa"/>
            <w:vAlign w:val="bottom"/>
          </w:tcPr>
          <w:p>
            <w:pPr>
              <w:spacing w:after="0"/>
              <w:rPr>
                <w:sz w:val="1"/>
                <w:szCs w:val="1"/>
                <w:color w:val="auto"/>
              </w:rPr>
            </w:pPr>
          </w:p>
        </w:tc>
      </w:tr>
      <w:tr>
        <w:trPr>
          <w:trHeight w:val="177"/>
        </w:trPr>
        <w:tc>
          <w:tcPr>
            <w:tcW w:w="3580" w:type="dxa"/>
            <w:vAlign w:val="bottom"/>
            <w:shd w:val="clear" w:color="auto" w:fill="E6ECF8"/>
          </w:tcPr>
          <w:p>
            <w:pPr>
              <w:spacing w:after="0" w:line="177" w:lineRule="exact"/>
              <w:rPr>
                <w:sz w:val="20"/>
                <w:szCs w:val="20"/>
                <w:color w:val="auto"/>
              </w:rPr>
            </w:pPr>
            <w:r>
              <w:rPr>
                <w:rFonts w:ascii="Arial" w:cs="Arial" w:eastAsia="Arial" w:hAnsi="Arial"/>
                <w:sz w:val="13"/>
                <w:szCs w:val="13"/>
                <w:color w:val="auto"/>
              </w:rPr>
              <w:t xml:space="preserve">Robert A. Ingram </w:t>
            </w:r>
            <w:r>
              <w:rPr>
                <w:rFonts w:ascii="Arial" w:cs="Arial" w:eastAsia="Arial" w:hAnsi="Arial"/>
                <w:sz w:val="20"/>
                <w:szCs w:val="20"/>
                <w:color w:val="5668B0"/>
                <w:vertAlign w:val="superscript"/>
              </w:rPr>
              <w:t>5</w:t>
            </w:r>
          </w:p>
        </w:tc>
        <w:tc>
          <w:tcPr>
            <w:tcW w:w="2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65,000</w:t>
            </w:r>
          </w:p>
        </w:tc>
        <w:tc>
          <w:tcPr>
            <w:tcW w:w="640" w:type="dxa"/>
            <w:vAlign w:val="bottom"/>
            <w:shd w:val="clear" w:color="auto" w:fill="E6ECF8"/>
          </w:tcPr>
          <w:p>
            <w:pPr>
              <w:spacing w:after="0"/>
              <w:rPr>
                <w:sz w:val="15"/>
                <w:szCs w:val="15"/>
                <w:color w:val="auto"/>
              </w:rPr>
            </w:pPr>
          </w:p>
        </w:tc>
        <w:tc>
          <w:tcPr>
            <w:tcW w:w="88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E6ECF8"/>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6ECF8"/>
          </w:tcPr>
          <w:p>
            <w:pPr>
              <w:jc w:val="right"/>
              <w:ind w:right="75"/>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2,051,604</w:t>
            </w:r>
          </w:p>
        </w:tc>
        <w:tc>
          <w:tcPr>
            <w:tcW w:w="0" w:type="dxa"/>
            <w:vAlign w:val="bottom"/>
          </w:tcPr>
          <w:p>
            <w:pPr>
              <w:spacing w:after="0"/>
              <w:rPr>
                <w:sz w:val="1"/>
                <w:szCs w:val="1"/>
                <w:color w:val="auto"/>
              </w:rPr>
            </w:pPr>
          </w:p>
        </w:tc>
      </w:tr>
      <w:tr>
        <w:trPr>
          <w:trHeight w:val="152"/>
        </w:trPr>
        <w:tc>
          <w:tcPr>
            <w:tcW w:w="3580" w:type="dxa"/>
            <w:vAlign w:val="bottom"/>
            <w:shd w:val="clear" w:color="auto" w:fill="D0DBEF"/>
          </w:tcPr>
          <w:p>
            <w:pPr>
              <w:spacing w:after="0"/>
              <w:rPr>
                <w:sz w:val="20"/>
                <w:szCs w:val="20"/>
                <w:color w:val="auto"/>
              </w:rPr>
            </w:pPr>
            <w:r>
              <w:rPr>
                <w:rFonts w:ascii="Arial" w:cs="Arial" w:eastAsia="Arial" w:hAnsi="Arial"/>
                <w:sz w:val="13"/>
                <w:szCs w:val="13"/>
                <w:color w:val="auto"/>
              </w:rPr>
              <w:t>Christine A. Poon</w:t>
            </w:r>
          </w:p>
        </w:tc>
        <w:tc>
          <w:tcPr>
            <w:tcW w:w="228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75,000</w:t>
            </w:r>
          </w:p>
        </w:tc>
        <w:tc>
          <w:tcPr>
            <w:tcW w:w="64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D0DBEF"/>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0DBEF"/>
          </w:tcPr>
          <w:p>
            <w:pPr>
              <w:jc w:val="right"/>
              <w:ind w:right="75"/>
              <w:spacing w:after="0"/>
              <w:rPr>
                <w:sz w:val="20"/>
                <w:szCs w:val="20"/>
                <w:color w:val="auto"/>
              </w:rPr>
            </w:pPr>
            <w:r>
              <w:rPr>
                <w:rFonts w:ascii="Arial" w:cs="Arial" w:eastAsia="Arial" w:hAnsi="Arial"/>
                <w:sz w:val="13"/>
                <w:szCs w:val="13"/>
                <w:color w:val="auto"/>
              </w:rPr>
              <w:t>–</w:t>
            </w:r>
          </w:p>
        </w:tc>
        <w:tc>
          <w:tcPr>
            <w:tcW w:w="7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2,061,604</w:t>
            </w:r>
          </w:p>
        </w:tc>
        <w:tc>
          <w:tcPr>
            <w:tcW w:w="0" w:type="dxa"/>
            <w:vAlign w:val="bottom"/>
          </w:tcPr>
          <w:p>
            <w:pPr>
              <w:spacing w:after="0"/>
              <w:rPr>
                <w:sz w:val="1"/>
                <w:szCs w:val="1"/>
                <w:color w:val="auto"/>
              </w:rPr>
            </w:pPr>
          </w:p>
        </w:tc>
      </w:tr>
      <w:tr>
        <w:trPr>
          <w:trHeight w:val="152"/>
        </w:trPr>
        <w:tc>
          <w:tcPr>
            <w:tcW w:w="3580" w:type="dxa"/>
            <w:vAlign w:val="bottom"/>
            <w:shd w:val="clear" w:color="auto" w:fill="E6ECF8"/>
          </w:tcPr>
          <w:p>
            <w:pPr>
              <w:spacing w:after="0"/>
              <w:rPr>
                <w:sz w:val="20"/>
                <w:szCs w:val="20"/>
                <w:color w:val="auto"/>
              </w:rPr>
            </w:pPr>
            <w:r>
              <w:rPr>
                <w:rFonts w:ascii="Arial" w:cs="Arial" w:eastAsia="Arial" w:hAnsi="Arial"/>
                <w:sz w:val="13"/>
                <w:szCs w:val="13"/>
                <w:color w:val="auto"/>
              </w:rPr>
              <w:t>Arthur F. Ryan</w:t>
            </w:r>
          </w:p>
        </w:tc>
        <w:tc>
          <w:tcPr>
            <w:tcW w:w="2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75,000</w:t>
            </w:r>
          </w:p>
        </w:tc>
        <w:tc>
          <w:tcPr>
            <w:tcW w:w="6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E6ECF8"/>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6ECF8"/>
          </w:tcPr>
          <w:p>
            <w:pPr>
              <w:jc w:val="right"/>
              <w:ind w:right="15"/>
              <w:spacing w:after="0" w:line="152" w:lineRule="exact"/>
              <w:rPr>
                <w:sz w:val="20"/>
                <w:szCs w:val="20"/>
                <w:color w:val="auto"/>
              </w:rPr>
            </w:pPr>
            <w:r>
              <w:rPr>
                <w:rFonts w:ascii="Arial" w:cs="Arial" w:eastAsia="Arial" w:hAnsi="Arial"/>
                <w:sz w:val="12"/>
                <w:szCs w:val="12"/>
                <w:color w:val="auto"/>
              </w:rPr>
              <w:t>2,500</w:t>
            </w:r>
            <w:r>
              <w:rPr>
                <w:rFonts w:ascii="Arial" w:cs="Arial" w:eastAsia="Arial" w:hAnsi="Arial"/>
                <w:sz w:val="17"/>
                <w:szCs w:val="17"/>
                <w:color w:val="5668B0"/>
                <w:vertAlign w:val="superscript"/>
              </w:rPr>
              <w:t>3</w:t>
            </w:r>
          </w:p>
        </w:tc>
        <w:tc>
          <w:tcPr>
            <w:tcW w:w="7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2,064,104</w:t>
            </w:r>
          </w:p>
        </w:tc>
        <w:tc>
          <w:tcPr>
            <w:tcW w:w="0" w:type="dxa"/>
            <w:vAlign w:val="bottom"/>
          </w:tcPr>
          <w:p>
            <w:pPr>
              <w:spacing w:after="0"/>
              <w:rPr>
                <w:sz w:val="1"/>
                <w:szCs w:val="1"/>
                <w:color w:val="auto"/>
              </w:rPr>
            </w:pPr>
          </w:p>
        </w:tc>
      </w:tr>
      <w:tr>
        <w:trPr>
          <w:trHeight w:val="152"/>
        </w:trPr>
        <w:tc>
          <w:tcPr>
            <w:tcW w:w="3580" w:type="dxa"/>
            <w:vAlign w:val="bottom"/>
            <w:shd w:val="clear" w:color="auto" w:fill="D0DBEF"/>
          </w:tcPr>
          <w:p>
            <w:pPr>
              <w:spacing w:after="0"/>
              <w:rPr>
                <w:sz w:val="20"/>
                <w:szCs w:val="20"/>
                <w:color w:val="auto"/>
              </w:rPr>
            </w:pPr>
            <w:r>
              <w:rPr>
                <w:rFonts w:ascii="Arial" w:cs="Arial" w:eastAsia="Arial" w:hAnsi="Arial"/>
                <w:sz w:val="13"/>
                <w:szCs w:val="13"/>
                <w:color w:val="auto"/>
              </w:rPr>
              <w:t>George L. Sing</w:t>
            </w:r>
          </w:p>
        </w:tc>
        <w:tc>
          <w:tcPr>
            <w:tcW w:w="228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80,000</w:t>
            </w:r>
          </w:p>
        </w:tc>
        <w:tc>
          <w:tcPr>
            <w:tcW w:w="64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D0DBEF"/>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D0DBEF"/>
          </w:tcPr>
          <w:p>
            <w:pPr>
              <w:jc w:val="right"/>
              <w:ind w:right="15"/>
              <w:spacing w:after="0" w:line="152" w:lineRule="exact"/>
              <w:rPr>
                <w:sz w:val="20"/>
                <w:szCs w:val="20"/>
                <w:color w:val="auto"/>
              </w:rPr>
            </w:pPr>
            <w:r>
              <w:rPr>
                <w:rFonts w:ascii="Arial" w:cs="Arial" w:eastAsia="Arial" w:hAnsi="Arial"/>
                <w:sz w:val="12"/>
                <w:szCs w:val="12"/>
                <w:color w:val="auto"/>
              </w:rPr>
              <w:t>5,000</w:t>
            </w:r>
            <w:r>
              <w:rPr>
                <w:rFonts w:ascii="Arial" w:cs="Arial" w:eastAsia="Arial" w:hAnsi="Arial"/>
                <w:sz w:val="17"/>
                <w:szCs w:val="17"/>
                <w:color w:val="5668B0"/>
                <w:vertAlign w:val="superscript"/>
              </w:rPr>
              <w:t>3</w:t>
            </w:r>
          </w:p>
        </w:tc>
        <w:tc>
          <w:tcPr>
            <w:tcW w:w="7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2,071,604</w:t>
            </w:r>
          </w:p>
        </w:tc>
        <w:tc>
          <w:tcPr>
            <w:tcW w:w="0" w:type="dxa"/>
            <w:vAlign w:val="bottom"/>
          </w:tcPr>
          <w:p>
            <w:pPr>
              <w:spacing w:after="0"/>
              <w:rPr>
                <w:sz w:val="1"/>
                <w:szCs w:val="1"/>
                <w:color w:val="auto"/>
              </w:rPr>
            </w:pPr>
          </w:p>
        </w:tc>
      </w:tr>
      <w:tr>
        <w:trPr>
          <w:trHeight w:val="152"/>
        </w:trPr>
        <w:tc>
          <w:tcPr>
            <w:tcW w:w="3580" w:type="dxa"/>
            <w:vAlign w:val="bottom"/>
            <w:shd w:val="clear" w:color="auto" w:fill="E6ECF8"/>
          </w:tcPr>
          <w:p>
            <w:pPr>
              <w:spacing w:after="0"/>
              <w:rPr>
                <w:sz w:val="20"/>
                <w:szCs w:val="20"/>
                <w:color w:val="auto"/>
              </w:rPr>
            </w:pPr>
            <w:r>
              <w:rPr>
                <w:rFonts w:ascii="Arial" w:cs="Arial" w:eastAsia="Arial" w:hAnsi="Arial"/>
                <w:sz w:val="13"/>
                <w:szCs w:val="13"/>
                <w:color w:val="auto"/>
              </w:rPr>
              <w:t>Marc Tessier-Lavigne, Ph.D.</w:t>
            </w:r>
          </w:p>
        </w:tc>
        <w:tc>
          <w:tcPr>
            <w:tcW w:w="2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75,000</w:t>
            </w:r>
          </w:p>
        </w:tc>
        <w:tc>
          <w:tcPr>
            <w:tcW w:w="6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1,986,604</w:t>
            </w:r>
          </w:p>
        </w:tc>
        <w:tc>
          <w:tcPr>
            <w:tcW w:w="1000" w:type="dxa"/>
            <w:vAlign w:val="bottom"/>
            <w:shd w:val="clear" w:color="auto" w:fill="E6ECF8"/>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E6ECF8"/>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6ECF8"/>
          </w:tcPr>
          <w:p>
            <w:pPr>
              <w:jc w:val="right"/>
              <w:ind w:right="75"/>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2,061,604</w:t>
            </w:r>
          </w:p>
        </w:tc>
        <w:tc>
          <w:tcPr>
            <w:tcW w:w="0" w:type="dxa"/>
            <w:vAlign w:val="bottom"/>
          </w:tcPr>
          <w:p>
            <w:pPr>
              <w:spacing w:after="0"/>
              <w:rPr>
                <w:sz w:val="1"/>
                <w:szCs w:val="1"/>
                <w:color w:val="auto"/>
              </w:rPr>
            </w:pPr>
          </w:p>
        </w:tc>
      </w:tr>
      <w:tr>
        <w:trPr>
          <w:trHeight w:val="152"/>
        </w:trPr>
        <w:tc>
          <w:tcPr>
            <w:tcW w:w="3580" w:type="dxa"/>
            <w:vAlign w:val="bottom"/>
            <w:tcBorders>
              <w:bottom w:val="single" w:sz="8" w:color="5668B0"/>
            </w:tcBorders>
            <w:shd w:val="clear" w:color="auto" w:fill="D0DBEF"/>
          </w:tcPr>
          <w:p>
            <w:pPr>
              <w:spacing w:after="0"/>
              <w:rPr>
                <w:sz w:val="20"/>
                <w:szCs w:val="20"/>
                <w:color w:val="auto"/>
              </w:rPr>
            </w:pPr>
            <w:r>
              <w:rPr>
                <w:rFonts w:ascii="Arial" w:cs="Arial" w:eastAsia="Arial" w:hAnsi="Arial"/>
                <w:sz w:val="13"/>
                <w:szCs w:val="13"/>
                <w:color w:val="auto"/>
              </w:rPr>
              <w:t>P. Roy Vagelos, M.D.</w:t>
            </w:r>
          </w:p>
        </w:tc>
        <w:tc>
          <w:tcPr>
            <w:tcW w:w="2280" w:type="dxa"/>
            <w:vAlign w:val="bottom"/>
            <w:tcBorders>
              <w:bottom w:val="single" w:sz="8" w:color="5668B0"/>
            </w:tcBorders>
            <w:shd w:val="clear" w:color="auto" w:fill="D0DBEF"/>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5668B0"/>
            </w:tcBorders>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668B0"/>
            </w:tcBorders>
            <w:shd w:val="clear" w:color="auto" w:fill="D0DBEF"/>
          </w:tcPr>
          <w:p>
            <w:pPr>
              <w:jc w:val="right"/>
              <w:ind w:right="34"/>
              <w:spacing w:after="0"/>
              <w:rPr>
                <w:sz w:val="20"/>
                <w:szCs w:val="20"/>
                <w:color w:val="auto"/>
              </w:rPr>
            </w:pPr>
            <w:r>
              <w:rPr>
                <w:rFonts w:ascii="Arial" w:cs="Arial" w:eastAsia="Arial" w:hAnsi="Arial"/>
                <w:sz w:val="13"/>
                <w:szCs w:val="13"/>
                <w:color w:val="auto"/>
              </w:rPr>
              <w:t>23,098,558</w:t>
            </w:r>
          </w:p>
        </w:tc>
        <w:tc>
          <w:tcPr>
            <w:tcW w:w="1000" w:type="dxa"/>
            <w:vAlign w:val="bottom"/>
            <w:tcBorders>
              <w:bottom w:val="single" w:sz="8" w:color="5668B0"/>
            </w:tcBorders>
            <w:shd w:val="clear" w:color="auto" w:fill="D0DBEF"/>
          </w:tcPr>
          <w:p>
            <w:pPr>
              <w:jc w:val="center"/>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5668B0"/>
            </w:tcBorders>
            <w:shd w:val="clear" w:color="auto" w:fill="D0DBEF"/>
          </w:tcPr>
          <w:p>
            <w:pPr>
              <w:jc w:val="center"/>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668B0"/>
            </w:tcBorders>
            <w:shd w:val="clear" w:color="auto" w:fill="D0DBEF"/>
          </w:tcPr>
          <w:p>
            <w:pPr>
              <w:jc w:val="right"/>
              <w:ind w:right="15"/>
              <w:spacing w:after="0" w:line="152" w:lineRule="exact"/>
              <w:rPr>
                <w:sz w:val="20"/>
                <w:szCs w:val="20"/>
                <w:color w:val="auto"/>
              </w:rPr>
            </w:pPr>
            <w:r>
              <w:rPr>
                <w:rFonts w:ascii="Arial" w:cs="Arial" w:eastAsia="Arial" w:hAnsi="Arial"/>
                <w:sz w:val="12"/>
                <w:szCs w:val="12"/>
                <w:color w:val="auto"/>
              </w:rPr>
              <w:t>109,000</w:t>
            </w:r>
            <w:r>
              <w:rPr>
                <w:rFonts w:ascii="Arial" w:cs="Arial" w:eastAsia="Arial" w:hAnsi="Arial"/>
                <w:sz w:val="17"/>
                <w:szCs w:val="17"/>
                <w:color w:val="5668B0"/>
                <w:vertAlign w:val="superscript"/>
              </w:rPr>
              <w:t>6</w:t>
            </w:r>
          </w:p>
        </w:tc>
        <w:tc>
          <w:tcPr>
            <w:tcW w:w="76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3"/>
                <w:szCs w:val="13"/>
                <w:color w:val="auto"/>
              </w:rPr>
              <w:t>23,207,558</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500" w:hanging="499"/>
        <w:spacing w:after="0" w:line="213" w:lineRule="auto"/>
        <w:tabs>
          <w:tab w:leader="none" w:pos="500" w:val="left"/>
        </w:tabs>
        <w:numPr>
          <w:ilvl w:val="0"/>
          <w:numId w:val="37"/>
        </w:numPr>
        <w:rPr>
          <w:rFonts w:ascii="Arial" w:cs="Arial" w:eastAsia="Arial" w:hAnsi="Arial"/>
          <w:sz w:val="27"/>
          <w:szCs w:val="27"/>
          <w:b w:val="1"/>
          <w:bCs w:val="1"/>
          <w:color w:val="5668B0"/>
          <w:vertAlign w:val="superscript"/>
        </w:rPr>
      </w:pPr>
      <w:r>
        <w:rPr>
          <w:rFonts w:ascii="Arial" w:cs="Arial" w:eastAsia="Arial" w:hAnsi="Arial"/>
          <w:sz w:val="16"/>
          <w:szCs w:val="16"/>
          <w:color w:val="auto"/>
        </w:rPr>
        <w:t>The amounts in column (d) reflect the aggregate grant date fair value of options awarded during the year ended December 31, 2015 pursuant to the Regeneron Pharmaceuticals, Inc. 2014 Long-Term Incentive Plan. Assumptions used in the calculation of this amount do not take into account expected forfeitures and are otherwise described in Note 14 to the Company's audited financial statements for the fiscal year ended December 31, 2015 included in the 2015 Annual Report.</w:t>
      </w:r>
    </w:p>
    <w:p>
      <w:pPr>
        <w:spacing w:after="0" w:line="88" w:lineRule="exact"/>
        <w:rPr>
          <w:sz w:val="20"/>
          <w:szCs w:val="20"/>
          <w:color w:val="auto"/>
        </w:rPr>
      </w:pPr>
    </w:p>
    <w:p>
      <w:pPr>
        <w:ind w:left="500" w:hanging="499"/>
        <w:spacing w:after="0"/>
        <w:tabs>
          <w:tab w:leader="none" w:pos="500" w:val="left"/>
        </w:tabs>
        <w:numPr>
          <w:ilvl w:val="0"/>
          <w:numId w:val="38"/>
        </w:numPr>
        <w:rPr>
          <w:rFonts w:ascii="Arial" w:cs="Arial" w:eastAsia="Arial" w:hAnsi="Arial"/>
          <w:sz w:val="27"/>
          <w:szCs w:val="27"/>
          <w:b w:val="1"/>
          <w:bCs w:val="1"/>
          <w:color w:val="5668B0"/>
          <w:vertAlign w:val="superscript"/>
        </w:rPr>
      </w:pPr>
      <w:r>
        <w:rPr>
          <w:rFonts w:ascii="Arial" w:cs="Arial" w:eastAsia="Arial" w:hAnsi="Arial"/>
          <w:sz w:val="16"/>
          <w:szCs w:val="16"/>
          <w:color w:val="auto"/>
        </w:rPr>
        <w:t>At December 31, 2015, the non-employee directors and Dr. Vagelos had the following stock option awards outstanding: Mr. Baker: 88,588; Dr. Brown:</w:t>
      </w:r>
    </w:p>
    <w:p>
      <w:pPr>
        <w:ind w:left="500"/>
        <w:spacing w:after="0"/>
        <w:rPr>
          <w:rFonts w:ascii="Arial" w:cs="Arial" w:eastAsia="Arial" w:hAnsi="Arial"/>
          <w:sz w:val="27"/>
          <w:szCs w:val="27"/>
          <w:b w:val="1"/>
          <w:bCs w:val="1"/>
          <w:color w:val="5668B0"/>
          <w:vertAlign w:val="superscript"/>
        </w:rPr>
      </w:pPr>
      <w:r>
        <w:rPr>
          <w:rFonts w:ascii="Arial" w:cs="Arial" w:eastAsia="Arial" w:hAnsi="Arial"/>
          <w:sz w:val="16"/>
          <w:szCs w:val="16"/>
          <w:color w:val="auto"/>
        </w:rPr>
        <w:t>35,588; Dr. Gilman: 38,588; Dr. Goldstein: 43,588; Mr. Ingram: 0; Ms. Poon: 93,118; Mr. Ryan: 24,338; Mr. Sing: 105,588; Dr. Tessier-Lavigne: 52,867;</w:t>
      </w:r>
    </w:p>
    <w:p>
      <w:pPr>
        <w:spacing w:after="0" w:line="5" w:lineRule="exact"/>
        <w:rPr>
          <w:rFonts w:ascii="Arial" w:cs="Arial" w:eastAsia="Arial" w:hAnsi="Arial"/>
          <w:sz w:val="27"/>
          <w:szCs w:val="27"/>
          <w:b w:val="1"/>
          <w:bCs w:val="1"/>
          <w:color w:val="5668B0"/>
          <w:vertAlign w:val="superscript"/>
        </w:rPr>
      </w:pPr>
    </w:p>
    <w:p>
      <w:pPr>
        <w:ind w:left="500"/>
        <w:spacing w:after="0"/>
        <w:rPr>
          <w:rFonts w:ascii="Arial" w:cs="Arial" w:eastAsia="Arial" w:hAnsi="Arial"/>
          <w:sz w:val="27"/>
          <w:szCs w:val="27"/>
          <w:b w:val="1"/>
          <w:bCs w:val="1"/>
          <w:color w:val="5668B0"/>
          <w:vertAlign w:val="superscript"/>
        </w:rPr>
      </w:pPr>
      <w:r>
        <w:rPr>
          <w:rFonts w:ascii="Arial" w:cs="Arial" w:eastAsia="Arial" w:hAnsi="Arial"/>
          <w:sz w:val="16"/>
          <w:szCs w:val="16"/>
          <w:color w:val="auto"/>
        </w:rPr>
        <w:t>and Dr. Vagelos: 2,270,363.</w:t>
      </w:r>
    </w:p>
    <w:p>
      <w:pPr>
        <w:spacing w:after="0" w:line="208" w:lineRule="exact"/>
        <w:rPr>
          <w:sz w:val="20"/>
          <w:szCs w:val="20"/>
          <w:color w:val="auto"/>
        </w:rPr>
      </w:pPr>
    </w:p>
    <w:p>
      <w:pPr>
        <w:ind w:left="500" w:hanging="499"/>
        <w:spacing w:after="0" w:line="187" w:lineRule="auto"/>
        <w:tabs>
          <w:tab w:leader="none" w:pos="500" w:val="left"/>
        </w:tabs>
        <w:numPr>
          <w:ilvl w:val="0"/>
          <w:numId w:val="39"/>
        </w:numPr>
        <w:rPr>
          <w:rFonts w:ascii="Arial" w:cs="Arial" w:eastAsia="Arial" w:hAnsi="Arial"/>
          <w:sz w:val="27"/>
          <w:szCs w:val="27"/>
          <w:b w:val="1"/>
          <w:bCs w:val="1"/>
          <w:color w:val="5668B0"/>
          <w:vertAlign w:val="superscript"/>
        </w:rPr>
      </w:pPr>
      <w:r>
        <w:rPr>
          <w:rFonts w:ascii="Arial" w:cs="Arial" w:eastAsia="Arial" w:hAnsi="Arial"/>
          <w:sz w:val="16"/>
          <w:szCs w:val="16"/>
          <w:color w:val="auto"/>
        </w:rPr>
        <w:t>Consists of a Company contribution paid or payable on or before April 14, 2016 under the Regeneron Matching Gift Program in respect of a charitable gift made in 2015.</w:t>
      </w:r>
    </w:p>
    <w:p>
      <w:pPr>
        <w:spacing w:after="0" w:line="83" w:lineRule="exact"/>
        <w:rPr>
          <w:sz w:val="20"/>
          <w:szCs w:val="20"/>
          <w:color w:val="auto"/>
        </w:rPr>
      </w:pPr>
    </w:p>
    <w:p>
      <w:pPr>
        <w:ind w:left="500" w:hanging="499"/>
        <w:spacing w:after="0"/>
        <w:tabs>
          <w:tab w:leader="none" w:pos="500" w:val="left"/>
        </w:tabs>
        <w:numPr>
          <w:ilvl w:val="0"/>
          <w:numId w:val="40"/>
        </w:numPr>
        <w:rPr>
          <w:rFonts w:ascii="Arial" w:cs="Arial" w:eastAsia="Arial" w:hAnsi="Arial"/>
          <w:sz w:val="27"/>
          <w:szCs w:val="27"/>
          <w:b w:val="1"/>
          <w:bCs w:val="1"/>
          <w:color w:val="5668B0"/>
          <w:vertAlign w:val="superscript"/>
        </w:rPr>
      </w:pPr>
      <w:r>
        <w:rPr>
          <w:rFonts w:ascii="Arial" w:cs="Arial" w:eastAsia="Arial" w:hAnsi="Arial"/>
          <w:sz w:val="16"/>
          <w:szCs w:val="16"/>
          <w:color w:val="auto"/>
        </w:rPr>
        <w:t>Dr. Gilman served as a director until his death on December 23, 2015.</w:t>
      </w:r>
    </w:p>
    <w:p>
      <w:pPr>
        <w:spacing w:after="0" w:line="94" w:lineRule="exact"/>
        <w:rPr>
          <w:sz w:val="20"/>
          <w:szCs w:val="20"/>
          <w:color w:val="auto"/>
        </w:rPr>
      </w:pPr>
    </w:p>
    <w:p>
      <w:pPr>
        <w:ind w:left="500" w:hanging="499"/>
        <w:spacing w:after="0"/>
        <w:tabs>
          <w:tab w:leader="none" w:pos="500" w:val="left"/>
        </w:tabs>
        <w:numPr>
          <w:ilvl w:val="0"/>
          <w:numId w:val="41"/>
        </w:numPr>
        <w:rPr>
          <w:rFonts w:ascii="Arial" w:cs="Arial" w:eastAsia="Arial" w:hAnsi="Arial"/>
          <w:sz w:val="27"/>
          <w:szCs w:val="27"/>
          <w:b w:val="1"/>
          <w:bCs w:val="1"/>
          <w:color w:val="5668B0"/>
          <w:vertAlign w:val="superscript"/>
        </w:rPr>
      </w:pPr>
      <w:r>
        <w:rPr>
          <w:rFonts w:ascii="Arial" w:cs="Arial" w:eastAsia="Arial" w:hAnsi="Arial"/>
          <w:sz w:val="16"/>
          <w:szCs w:val="16"/>
          <w:color w:val="auto"/>
        </w:rPr>
        <w:t>Mr. Ingram served as a director until his resignation on November 10, 2015.</w:t>
      </w:r>
    </w:p>
    <w:p>
      <w:pPr>
        <w:spacing w:after="0" w:line="195" w:lineRule="exact"/>
        <w:rPr>
          <w:sz w:val="20"/>
          <w:szCs w:val="20"/>
          <w:color w:val="auto"/>
        </w:rPr>
      </w:pPr>
    </w:p>
    <w:p>
      <w:pPr>
        <w:jc w:val="both"/>
        <w:ind w:left="500" w:hanging="499"/>
        <w:spacing w:after="0" w:line="203" w:lineRule="auto"/>
        <w:tabs>
          <w:tab w:leader="none" w:pos="500" w:val="left"/>
        </w:tabs>
        <w:numPr>
          <w:ilvl w:val="0"/>
          <w:numId w:val="42"/>
        </w:numPr>
        <w:rPr>
          <w:rFonts w:ascii="Arial" w:cs="Arial" w:eastAsia="Arial" w:hAnsi="Arial"/>
          <w:sz w:val="27"/>
          <w:szCs w:val="27"/>
          <w:b w:val="1"/>
          <w:bCs w:val="1"/>
          <w:color w:val="5668B0"/>
          <w:vertAlign w:val="superscript"/>
        </w:rPr>
      </w:pPr>
      <w:r>
        <w:rPr>
          <w:rFonts w:ascii="Arial" w:cs="Arial" w:eastAsia="Arial" w:hAnsi="Arial"/>
          <w:sz w:val="16"/>
          <w:szCs w:val="16"/>
          <w:color w:val="auto"/>
        </w:rPr>
        <w:t>Consists of (i) $100,000 for the salary paid pursuant to the terms of our employment agreement with Dr. Vagelos, (ii) $4,000 for 401(k) Savings Plan matching contributions in respect of 2015 paid in February 2016, and (iii) $5,000 for a Company contribution paid or payable on or before April 14, 2016 under the Regeneron Matching Gift Program in respect of a charitable gift made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123825</wp:posOffset>
            </wp:positionV>
            <wp:extent cx="642620" cy="1930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123825</wp:posOffset>
            </wp:positionV>
            <wp:extent cx="8255" cy="1930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84" w:lineRule="exact"/>
        <w:rPr>
          <w:sz w:val="20"/>
          <w:szCs w:val="20"/>
          <w:color w:val="auto"/>
        </w:rPr>
      </w:pPr>
    </w:p>
    <w:p>
      <w:pPr>
        <w:ind w:left="1160" w:hanging="744"/>
        <w:spacing w:after="0"/>
        <w:tabs>
          <w:tab w:leader="none" w:pos="1160" w:val="left"/>
        </w:tabs>
        <w:numPr>
          <w:ilvl w:val="0"/>
          <w:numId w:val="4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Executive Officers of the Company</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All officers of the Company are appointed annually and serve at the pleasure of the board of directors. The names, positions, ages, and background of the Company's executive officers as of April 14, 2016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63, co-founded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1988, has been a Director and its President and Chief Executive Officer since its inception, and 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3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56, joined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1989 as its Founding Scientist and is currently President, Regeneron Laboratories and Chief Scientific Officer. While holding leadership positions, Dr. Yancopoulos headed the Company's laboratories and science organization since joining the Company and, in 1998, was named the Company's first Chief Scientific Officer. Dr. Yancopoulos joined the board in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 developer of the four FDA-approved drugs the Company has developed, EYLEA®, Praluent®, ZALTRAP®, and ARCALYST®, as well as of its foundation technologies, including the TRAP technology,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and </w:t>
      </w:r>
      <w:r>
        <w:rPr>
          <w:rFonts w:ascii="Arial" w:cs="Arial" w:eastAsia="Arial" w:hAnsi="Arial"/>
          <w:sz w:val="16"/>
          <w:szCs w:val="16"/>
          <w:i w:val="1"/>
          <w:iCs w:val="1"/>
          <w:color w:val="auto"/>
        </w:rPr>
        <w:t>VelocImmune®</w:t>
      </w:r>
      <w:r>
        <w:rPr>
          <w:rFonts w:ascii="Arial" w:cs="Arial" w:eastAsia="Arial" w:hAnsi="Arial"/>
          <w:sz w:val="16"/>
          <w:szCs w:val="16"/>
          <w:color w:val="auto"/>
        </w:rPr>
        <w: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MICHAEL ABERMAN, M.D., </w:t>
      </w:r>
      <w:r>
        <w:rPr>
          <w:rFonts w:ascii="Arial" w:cs="Arial" w:eastAsia="Arial" w:hAnsi="Arial"/>
          <w:sz w:val="16"/>
          <w:szCs w:val="16"/>
          <w:color w:val="auto"/>
        </w:rPr>
        <w:t>45, has been Senior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and Investor Relations since January 2015. From March 2010 to December 2014, he served as Vice President, Strategy and Investor Relations. Prior to joining the Company, he spent six years as a Wall Street analyst covering the biotechnology industry. From March 2006 until joining the Company, he was Director and Senior Biotechnology Analyst at Credit Suisse. Prior to that, from March 2004 until March 2006, he worked as a Biotechnology Analyst at Morgan Stanley, Inc. From February 2002 through March 2004, Dr. Aberman was Director of Business Development at Antigenics Inc., an oncology-focused biotechnology company. Dr. Aberman received his M.D. with honors from the University of Toronto and his M.B.A. from the Wharton School of the University of Pennsylvania.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ROBERT E. LANDRY, </w:t>
      </w:r>
      <w:r>
        <w:rPr>
          <w:rFonts w:ascii="Arial" w:cs="Arial" w:eastAsia="Arial" w:hAnsi="Arial"/>
          <w:sz w:val="16"/>
          <w:szCs w:val="16"/>
          <w:color w:val="auto"/>
        </w:rPr>
        <w:t>52, has been Senior Vice President,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since September 2013 and Chief Financial Officer since October 2013. Previously, Mr. Landry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JOSEPH J. LAROSA, </w:t>
      </w:r>
      <w:r>
        <w:rPr>
          <w:rFonts w:ascii="Arial" w:cs="Arial" w:eastAsia="Arial" w:hAnsi="Arial"/>
          <w:sz w:val="16"/>
          <w:szCs w:val="16"/>
          <w:color w:val="auto"/>
        </w:rPr>
        <w:t>57, has been Senior Vice President,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and Secretary since September 2011.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DOUGLAS S. McCORKLE, </w:t>
      </w:r>
      <w:r>
        <w:rPr>
          <w:rFonts w:ascii="Arial" w:cs="Arial" w:eastAsia="Arial" w:hAnsi="Arial"/>
          <w:sz w:val="16"/>
          <w:szCs w:val="16"/>
          <w:color w:val="auto"/>
        </w:rPr>
        <w:t>59, has been Vice President, Controller,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Assistant Treasurer since 2007. Prior to that date, he served as Controller and Assistant Treasurer since 1998. Prior to joining the Company, Mr. McCorkle was Controller of Intergen Company, a manufacturer of biopharmaceutical products, a position he held since 1997. From 1990 to 1996, Mr. McCorkle was employed with Coopers &amp; Lybrand L.L.P., where he specialized in biotechnology clients and served in various positions including Audit Manager from 1995 to 1996. As previously reported, Mr. McCorkle has notified the Company that he plans to retire in early 2017.</w:t>
      </w: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PETER POWCHIK, M.D., </w:t>
      </w:r>
      <w:r>
        <w:rPr>
          <w:rFonts w:ascii="Arial" w:cs="Arial" w:eastAsia="Arial" w:hAnsi="Arial"/>
          <w:sz w:val="16"/>
          <w:szCs w:val="16"/>
          <w:color w:val="auto"/>
        </w:rPr>
        <w:t>59, has been Senior Vice President,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since joining the Company in October 2006. Prior to joining the Company, Dr. 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660" w:type="dxa"/>
        <w:tblCellMar>
          <w:top w:w="0" w:type="dxa"/>
          <w:left w:w="0" w:type="dxa"/>
          <w:bottom w:w="0" w:type="dxa"/>
          <w:right w:w="0" w:type="dxa"/>
        </w:tblCellMar>
      </w:tblPr>
      <w:tr>
        <w:trPr>
          <w:trHeight w:val="250"/>
        </w:trPr>
        <w:tc>
          <w:tcPr>
            <w:tcW w:w="2700" w:type="dxa"/>
            <w:vAlign w:val="bottom"/>
            <w:vMerge w:val="restart"/>
          </w:tcPr>
          <w:p>
            <w:pPr>
              <w:spacing w:after="0"/>
              <w:rPr>
                <w:sz w:val="20"/>
                <w:szCs w:val="20"/>
                <w:color w:val="auto"/>
              </w:rPr>
            </w:pPr>
            <w:r>
              <w:rPr>
                <w:rFonts w:ascii="Arial" w:cs="Arial" w:eastAsia="Arial" w:hAnsi="Arial"/>
                <w:sz w:val="16"/>
                <w:szCs w:val="16"/>
                <w:color w:val="183394"/>
              </w:rPr>
              <w:t>Executive Officers of the Company</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23</w:t>
            </w:r>
          </w:p>
        </w:tc>
        <w:tc>
          <w:tcPr>
            <w:tcW w:w="0" w:type="dxa"/>
            <w:vAlign w:val="bottom"/>
          </w:tcPr>
          <w:p>
            <w:pPr>
              <w:spacing w:after="0"/>
              <w:rPr>
                <w:sz w:val="1"/>
                <w:szCs w:val="1"/>
                <w:color w:val="auto"/>
              </w:rPr>
            </w:pPr>
          </w:p>
        </w:tc>
      </w:tr>
      <w:tr>
        <w:trPr>
          <w:trHeight w:val="66"/>
        </w:trPr>
        <w:tc>
          <w:tcPr>
            <w:tcW w:w="27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-192405</wp:posOffset>
            </wp:positionV>
            <wp:extent cx="8255" cy="1930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Dr. Powchik received his M.D. from New York University School of Medicine.</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NEIL STAHL, Ph.D., </w:t>
      </w:r>
      <w:r>
        <w:rPr>
          <w:rFonts w:ascii="Arial" w:cs="Arial" w:eastAsia="Arial" w:hAnsi="Arial"/>
          <w:sz w:val="16"/>
          <w:szCs w:val="16"/>
          <w:color w:val="auto"/>
        </w:rPr>
        <w:t>59, has been Executive Vice President,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and Development since January 2015. He previously served as 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July 1997, Dr. Stahl was Director, Cytokines and Signal Transduction. Dr. Stahl received his Ph.D. in Biochemistry from Brandeis University.</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ROBERT J. TERIFAY, </w:t>
      </w:r>
      <w:r>
        <w:rPr>
          <w:rFonts w:ascii="Arial" w:cs="Arial" w:eastAsia="Arial" w:hAnsi="Arial"/>
          <w:sz w:val="16"/>
          <w:szCs w:val="16"/>
          <w:color w:val="auto"/>
        </w:rPr>
        <w:t>56, has been Executive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since January 2016. From February 2007 to December 2015, he served as Senior Vice President, Commercial. Prior to joining the Company, Mr. Terifay was employed at several biopharmaceutical companies. From January to October 2006, Mr. Terifay served as President and Chief Operating Officer of Arginox Pharmaceuticals. Prior to his employment at Arginox, Mr. Terifay was Senior Vice President, Business 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368300</wp:posOffset>
            </wp:positionV>
            <wp:extent cx="642620" cy="1930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368300</wp:posOffset>
            </wp:positionV>
            <wp:extent cx="8255" cy="1930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160" w:hanging="744"/>
        <w:spacing w:after="0"/>
        <w:tabs>
          <w:tab w:leader="none" w:pos="1160" w:val="left"/>
        </w:tabs>
        <w:numPr>
          <w:ilvl w:val="0"/>
          <w:numId w:val="4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Officers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his Master of Management degree in Marketing and Health Service Management from the J.L. Kellogg Graduate School of Management, Northwestern University.</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DANIEL P. VAN PLEW, </w:t>
      </w:r>
      <w:r>
        <w:rPr>
          <w:rFonts w:ascii="Arial" w:cs="Arial" w:eastAsia="Arial" w:hAnsi="Arial"/>
          <w:sz w:val="16"/>
          <w:szCs w:val="16"/>
          <w:color w:val="auto"/>
        </w:rPr>
        <w:t>43, has been Executive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Manager, Industrial Operations and Product Supply since 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873125</wp:posOffset>
            </wp:positionV>
            <wp:extent cx="725995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Security Ownership of Certain Beneficial Owners and Management</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table sets forth, as of April 14, 2016, the number of shares of the Company's Class A stock and common stock beneficially owned by each of the Company's directors, each of the Named Officers referred to below under "Executive Compensation," all directors and executive officers as a group, and each other person or group of persons known by the Company to beneficially own more than 5% of the outstanding shares of common stock or Class A stock, based upon (unless indicated otherwise) information obtained from such persons, and the percentage that such shares represent of the number of outstanding shares of Class A stock and common stock, respectively.</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1,913,136 shares of Class A stock and 103,165,457 shares of common stock outstanding as of April 14, 2016,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14, 2016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3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exercisable as of April 14, 2016 or are exercisable within sixty days after April 14, 2016 are deemed to be outstanding. Such shares are not deemed to be outstanding, however, for the purpose of computing the percentage ownership of common stock of any other person.</w:t>
      </w:r>
    </w:p>
    <w:p>
      <w:pPr>
        <w:spacing w:after="0" w:line="201" w:lineRule="exact"/>
        <w:rPr>
          <w:sz w:val="20"/>
          <w:szCs w:val="20"/>
          <w:color w:val="auto"/>
        </w:rPr>
      </w:pPr>
    </w:p>
    <w:p>
      <w:pPr>
        <w:sectPr>
          <w:pgSz w:w="11900" w:h="16838" w:orient="portrait"/>
          <w:cols w:equalWidth="0" w:num="2">
            <w:col w:w="5380" w:space="680"/>
            <w:col w:w="5360"/>
          </w:cols>
          <w:pgMar w:left="240" w:top="143" w:right="239" w:bottom="1440" w:gutter="0" w:footer="0" w:header="0"/>
          <w:type w:val="continuous"/>
        </w:sect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20" w:type="dxa"/>
            <w:vAlign w:val="bottom"/>
            <w:tcBorders>
              <w:right w:val="single" w:sz="8" w:color="183394"/>
            </w:tcBorders>
          </w:tcPr>
          <w:p>
            <w:pPr>
              <w:spacing w:after="0"/>
              <w:rPr>
                <w:sz w:val="21"/>
                <w:szCs w:val="21"/>
                <w:color w:val="auto"/>
              </w:rPr>
            </w:pPr>
          </w:p>
        </w:tc>
        <w:tc>
          <w:tcPr>
            <w:tcW w:w="5700" w:type="dxa"/>
            <w:vAlign w:val="bottom"/>
            <w:vMerge w:val="restart"/>
          </w:tcPr>
          <w:p>
            <w:pPr>
              <w:ind w:left="640"/>
              <w:spacing w:after="0"/>
              <w:rPr>
                <w:sz w:val="20"/>
                <w:szCs w:val="20"/>
                <w:color w:val="auto"/>
              </w:rPr>
            </w:pPr>
            <w:r>
              <w:rPr>
                <w:rFonts w:ascii="Arial" w:cs="Arial" w:eastAsia="Arial" w:hAnsi="Arial"/>
                <w:sz w:val="16"/>
                <w:szCs w:val="16"/>
                <w:color w:val="183394"/>
              </w:rPr>
              <w:t>Security Ownership of Certain Beneficial Owners and Management</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25</w:t>
            </w:r>
          </w:p>
        </w:tc>
        <w:tc>
          <w:tcPr>
            <w:tcW w:w="0" w:type="dxa"/>
            <w:vAlign w:val="bottom"/>
          </w:tcPr>
          <w:p>
            <w:pPr>
              <w:spacing w:after="0"/>
              <w:rPr>
                <w:sz w:val="1"/>
                <w:szCs w:val="1"/>
                <w:color w:val="auto"/>
              </w:rPr>
            </w:pPr>
          </w:p>
        </w:tc>
      </w:tr>
      <w:tr>
        <w:trPr>
          <w:trHeight w:val="66"/>
        </w:trPr>
        <w:tc>
          <w:tcPr>
            <w:tcW w:w="4720" w:type="dxa"/>
            <w:vAlign w:val="bottom"/>
            <w:tcBorders>
              <w:right w:val="single" w:sz="8" w:color="183394"/>
            </w:tcBorders>
          </w:tcPr>
          <w:p>
            <w:pPr>
              <w:spacing w:after="0"/>
              <w:rPr>
                <w:sz w:val="5"/>
                <w:szCs w:val="5"/>
                <w:color w:val="auto"/>
              </w:rPr>
            </w:pPr>
          </w:p>
        </w:tc>
        <w:tc>
          <w:tcPr>
            <w:tcW w:w="57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720" w:type="dxa"/>
            <w:vAlign w:val="bottom"/>
            <w:tcBorders>
              <w:bottom w:val="single" w:sz="8" w:color="808080"/>
            </w:tcBorders>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389"/>
        </w:trPr>
        <w:tc>
          <w:tcPr>
            <w:tcW w:w="100" w:type="dxa"/>
            <w:vAlign w:val="bottom"/>
            <w:shd w:val="clear" w:color="auto" w:fill="5668B0"/>
          </w:tcPr>
          <w:p>
            <w:pPr>
              <w:spacing w:after="0"/>
              <w:rPr>
                <w:sz w:val="24"/>
                <w:szCs w:val="24"/>
                <w:color w:val="auto"/>
              </w:rPr>
            </w:pPr>
          </w:p>
        </w:tc>
        <w:tc>
          <w:tcPr>
            <w:tcW w:w="4660" w:type="dxa"/>
            <w:vAlign w:val="bottom"/>
            <w:shd w:val="clear" w:color="auto" w:fill="5668B0"/>
          </w:tcPr>
          <w:p>
            <w:pPr>
              <w:spacing w:after="0"/>
              <w:rPr>
                <w:sz w:val="24"/>
                <w:szCs w:val="24"/>
                <w:color w:val="auto"/>
              </w:rPr>
            </w:pPr>
          </w:p>
        </w:tc>
        <w:tc>
          <w:tcPr>
            <w:tcW w:w="1800" w:type="dxa"/>
            <w:vAlign w:val="bottom"/>
            <w:gridSpan w:val="2"/>
            <w:shd w:val="clear" w:color="auto" w:fill="5668B0"/>
          </w:tcPr>
          <w:p>
            <w:pPr>
              <w:jc w:val="right"/>
              <w:ind w:right="19"/>
              <w:spacing w:after="0"/>
              <w:rPr>
                <w:sz w:val="20"/>
                <w:szCs w:val="20"/>
                <w:color w:val="auto"/>
              </w:rPr>
            </w:pPr>
            <w:r>
              <w:rPr>
                <w:rFonts w:ascii="Arial" w:cs="Arial" w:eastAsia="Arial" w:hAnsi="Arial"/>
                <w:sz w:val="13"/>
                <w:szCs w:val="13"/>
                <w:color w:val="FFFFFE"/>
              </w:rPr>
              <w:t>Shares of Class A Stock</w:t>
            </w:r>
          </w:p>
        </w:tc>
        <w:tc>
          <w:tcPr>
            <w:tcW w:w="1860" w:type="dxa"/>
            <w:vAlign w:val="bottom"/>
            <w:gridSpan w:val="2"/>
            <w:shd w:val="clear" w:color="auto" w:fill="5668B0"/>
          </w:tcPr>
          <w:p>
            <w:pPr>
              <w:jc w:val="right"/>
              <w:spacing w:after="0"/>
              <w:rPr>
                <w:sz w:val="20"/>
                <w:szCs w:val="20"/>
                <w:color w:val="auto"/>
              </w:rPr>
            </w:pPr>
            <w:r>
              <w:rPr>
                <w:rFonts w:ascii="Arial" w:cs="Arial" w:eastAsia="Arial" w:hAnsi="Arial"/>
                <w:sz w:val="13"/>
                <w:szCs w:val="13"/>
                <w:color w:val="FFFFFE"/>
              </w:rPr>
              <w:t>Shares of Common Stock</w:t>
            </w:r>
          </w:p>
        </w:tc>
        <w:tc>
          <w:tcPr>
            <w:tcW w:w="0" w:type="dxa"/>
            <w:vAlign w:val="bottom"/>
          </w:tcPr>
          <w:p>
            <w:pPr>
              <w:spacing w:after="0"/>
              <w:rPr>
                <w:sz w:val="1"/>
                <w:szCs w:val="1"/>
                <w:color w:val="auto"/>
              </w:rPr>
            </w:pPr>
          </w:p>
        </w:tc>
      </w:tr>
      <w:tr>
        <w:trPr>
          <w:trHeight w:val="180"/>
        </w:trPr>
        <w:tc>
          <w:tcPr>
            <w:tcW w:w="100" w:type="dxa"/>
            <w:vAlign w:val="bottom"/>
            <w:shd w:val="clear" w:color="auto" w:fill="5668B0"/>
          </w:tcPr>
          <w:p>
            <w:pPr>
              <w:spacing w:after="0"/>
              <w:rPr>
                <w:sz w:val="15"/>
                <w:szCs w:val="15"/>
                <w:color w:val="auto"/>
              </w:rPr>
            </w:pPr>
          </w:p>
        </w:tc>
        <w:tc>
          <w:tcPr>
            <w:tcW w:w="4660" w:type="dxa"/>
            <w:vAlign w:val="bottom"/>
            <w:shd w:val="clear" w:color="auto" w:fill="5668B0"/>
          </w:tcPr>
          <w:p>
            <w:pPr>
              <w:spacing w:after="0"/>
              <w:rPr>
                <w:sz w:val="15"/>
                <w:szCs w:val="15"/>
                <w:color w:val="auto"/>
              </w:rPr>
            </w:pPr>
          </w:p>
        </w:tc>
        <w:tc>
          <w:tcPr>
            <w:tcW w:w="1800" w:type="dxa"/>
            <w:vAlign w:val="bottom"/>
            <w:gridSpan w:val="2"/>
            <w:shd w:val="clear" w:color="auto" w:fill="5668B0"/>
          </w:tcPr>
          <w:p>
            <w:pPr>
              <w:jc w:val="right"/>
              <w:ind w:right="19"/>
              <w:spacing w:after="0" w:line="181" w:lineRule="exact"/>
              <w:rPr>
                <w:sz w:val="20"/>
                <w:szCs w:val="20"/>
                <w:color w:val="auto"/>
              </w:rPr>
            </w:pPr>
            <w:r>
              <w:rPr>
                <w:rFonts w:ascii="Arial" w:cs="Arial" w:eastAsia="Arial" w:hAnsi="Arial"/>
                <w:sz w:val="13"/>
                <w:szCs w:val="13"/>
                <w:color w:val="FFFFFE"/>
              </w:rPr>
              <w:t>Beneficially Owned</w:t>
            </w:r>
            <w:r>
              <w:rPr>
                <w:rFonts w:ascii="Arial" w:cs="Arial" w:eastAsia="Arial" w:hAnsi="Arial"/>
                <w:sz w:val="20"/>
                <w:szCs w:val="20"/>
                <w:color w:val="FFFFFE"/>
                <w:vertAlign w:val="superscript"/>
              </w:rPr>
              <w:t>1</w:t>
            </w:r>
          </w:p>
        </w:tc>
        <w:tc>
          <w:tcPr>
            <w:tcW w:w="1860" w:type="dxa"/>
            <w:vAlign w:val="bottom"/>
            <w:gridSpan w:val="2"/>
            <w:shd w:val="clear" w:color="auto" w:fill="5668B0"/>
          </w:tcPr>
          <w:p>
            <w:pPr>
              <w:jc w:val="right"/>
              <w:spacing w:after="0" w:line="181" w:lineRule="exact"/>
              <w:rPr>
                <w:sz w:val="20"/>
                <w:szCs w:val="20"/>
                <w:color w:val="auto"/>
              </w:rPr>
            </w:pPr>
            <w:r>
              <w:rPr>
                <w:rFonts w:ascii="Arial" w:cs="Arial" w:eastAsia="Arial" w:hAnsi="Arial"/>
                <w:sz w:val="13"/>
                <w:szCs w:val="13"/>
                <w:color w:val="FFFFFE"/>
              </w:rPr>
              <w:t>Beneficially Owned</w:t>
            </w:r>
            <w:r>
              <w:rPr>
                <w:rFonts w:ascii="Arial" w:cs="Arial" w:eastAsia="Arial" w:hAnsi="Arial"/>
                <w:sz w:val="20"/>
                <w:szCs w:val="20"/>
                <w:color w:val="FFFFFE"/>
                <w:vertAlign w:val="superscript"/>
              </w:rPr>
              <w:t>1</w:t>
            </w:r>
          </w:p>
        </w:tc>
        <w:tc>
          <w:tcPr>
            <w:tcW w:w="0" w:type="dxa"/>
            <w:vAlign w:val="bottom"/>
          </w:tcPr>
          <w:p>
            <w:pPr>
              <w:spacing w:after="0"/>
              <w:rPr>
                <w:sz w:val="1"/>
                <w:szCs w:val="1"/>
                <w:color w:val="auto"/>
              </w:rPr>
            </w:pPr>
          </w:p>
        </w:tc>
      </w:tr>
      <w:tr>
        <w:trPr>
          <w:trHeight w:val="283"/>
        </w:trPr>
        <w:tc>
          <w:tcPr>
            <w:tcW w:w="100" w:type="dxa"/>
            <w:vAlign w:val="bottom"/>
            <w:shd w:val="clear" w:color="auto" w:fill="5668B0"/>
          </w:tcPr>
          <w:p>
            <w:pPr>
              <w:spacing w:after="0"/>
              <w:rPr>
                <w:sz w:val="24"/>
                <w:szCs w:val="24"/>
                <w:color w:val="auto"/>
              </w:rPr>
            </w:pPr>
          </w:p>
        </w:tc>
        <w:tc>
          <w:tcPr>
            <w:tcW w:w="4660" w:type="dxa"/>
            <w:vAlign w:val="bottom"/>
            <w:shd w:val="clear" w:color="auto" w:fill="5668B0"/>
          </w:tcPr>
          <w:p>
            <w:pPr>
              <w:spacing w:after="0"/>
              <w:rPr>
                <w:sz w:val="24"/>
                <w:szCs w:val="24"/>
                <w:color w:val="auto"/>
              </w:rPr>
            </w:pPr>
          </w:p>
        </w:tc>
        <w:tc>
          <w:tcPr>
            <w:tcW w:w="1080" w:type="dxa"/>
            <w:vAlign w:val="bottom"/>
            <w:shd w:val="clear" w:color="auto" w:fill="5668B0"/>
          </w:tcPr>
          <w:p>
            <w:pPr>
              <w:spacing w:after="0"/>
              <w:rPr>
                <w:sz w:val="24"/>
                <w:szCs w:val="24"/>
                <w:color w:val="auto"/>
              </w:rPr>
            </w:pPr>
          </w:p>
        </w:tc>
        <w:tc>
          <w:tcPr>
            <w:tcW w:w="720" w:type="dxa"/>
            <w:vAlign w:val="bottom"/>
            <w:shd w:val="clear" w:color="auto" w:fill="5668B0"/>
          </w:tcPr>
          <w:p>
            <w:pPr>
              <w:jc w:val="right"/>
              <w:ind w:right="19"/>
              <w:spacing w:after="0"/>
              <w:rPr>
                <w:sz w:val="20"/>
                <w:szCs w:val="20"/>
                <w:color w:val="auto"/>
              </w:rPr>
            </w:pPr>
            <w:r>
              <w:rPr>
                <w:rFonts w:ascii="Arial" w:cs="Arial" w:eastAsia="Arial" w:hAnsi="Arial"/>
                <w:sz w:val="13"/>
                <w:szCs w:val="13"/>
                <w:color w:val="FFFFFE"/>
              </w:rPr>
              <w:t>Percent</w:t>
            </w:r>
          </w:p>
        </w:tc>
        <w:tc>
          <w:tcPr>
            <w:tcW w:w="1240" w:type="dxa"/>
            <w:vAlign w:val="bottom"/>
            <w:vMerge w:val="restart"/>
            <w:shd w:val="clear" w:color="auto" w:fill="5668B0"/>
          </w:tcPr>
          <w:p>
            <w:pPr>
              <w:jc w:val="right"/>
              <w:ind w:right="230"/>
              <w:spacing w:after="0"/>
              <w:rPr>
                <w:sz w:val="20"/>
                <w:szCs w:val="20"/>
                <w:color w:val="auto"/>
              </w:rPr>
            </w:pPr>
            <w:r>
              <w:rPr>
                <w:rFonts w:ascii="Arial" w:cs="Arial" w:eastAsia="Arial" w:hAnsi="Arial"/>
                <w:sz w:val="13"/>
                <w:szCs w:val="13"/>
                <w:color w:val="FFFFFE"/>
              </w:rPr>
              <w:t>Number</w:t>
            </w:r>
            <w:r>
              <w:rPr>
                <w:rFonts w:ascii="Arial" w:cs="Arial" w:eastAsia="Arial" w:hAnsi="Arial"/>
                <w:sz w:val="20"/>
                <w:szCs w:val="20"/>
                <w:color w:val="FFFFFE"/>
                <w:vertAlign w:val="superscript"/>
              </w:rPr>
              <w:t>2</w:t>
            </w:r>
          </w:p>
        </w:tc>
        <w:tc>
          <w:tcPr>
            <w:tcW w:w="62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Percent</w:t>
            </w:r>
          </w:p>
        </w:tc>
        <w:tc>
          <w:tcPr>
            <w:tcW w:w="0" w:type="dxa"/>
            <w:vAlign w:val="bottom"/>
          </w:tcPr>
          <w:p>
            <w:pPr>
              <w:spacing w:after="0"/>
              <w:rPr>
                <w:sz w:val="1"/>
                <w:szCs w:val="1"/>
                <w:color w:val="auto"/>
              </w:rPr>
            </w:pPr>
          </w:p>
        </w:tc>
      </w:tr>
      <w:tr>
        <w:trPr>
          <w:trHeight w:val="226"/>
        </w:trPr>
        <w:tc>
          <w:tcPr>
            <w:tcW w:w="4760" w:type="dxa"/>
            <w:vAlign w:val="bottom"/>
            <w:gridSpan w:val="2"/>
            <w:shd w:val="clear" w:color="auto" w:fill="5668B0"/>
          </w:tcPr>
          <w:p>
            <w:pPr>
              <w:ind w:left="20"/>
              <w:spacing w:after="0"/>
              <w:rPr>
                <w:sz w:val="20"/>
                <w:szCs w:val="20"/>
                <w:color w:val="auto"/>
              </w:rPr>
            </w:pPr>
            <w:r>
              <w:rPr>
                <w:rFonts w:ascii="Arial" w:cs="Arial" w:eastAsia="Arial" w:hAnsi="Arial"/>
                <w:sz w:val="13"/>
                <w:szCs w:val="13"/>
                <w:color w:val="FFFFFE"/>
              </w:rPr>
              <w:t>Name and Address of Beneficial Owner</w:t>
            </w:r>
          </w:p>
        </w:tc>
        <w:tc>
          <w:tcPr>
            <w:tcW w:w="1080" w:type="dxa"/>
            <w:vAlign w:val="bottom"/>
            <w:shd w:val="clear" w:color="auto" w:fill="5668B0"/>
          </w:tcPr>
          <w:p>
            <w:pPr>
              <w:jc w:val="right"/>
              <w:ind w:right="202"/>
              <w:spacing w:after="0"/>
              <w:rPr>
                <w:sz w:val="20"/>
                <w:szCs w:val="20"/>
                <w:color w:val="auto"/>
              </w:rPr>
            </w:pPr>
            <w:r>
              <w:rPr>
                <w:rFonts w:ascii="Arial" w:cs="Arial" w:eastAsia="Arial" w:hAnsi="Arial"/>
                <w:sz w:val="13"/>
                <w:szCs w:val="13"/>
                <w:color w:val="FFFFFE"/>
              </w:rPr>
              <w:t>Number</w:t>
            </w:r>
          </w:p>
        </w:tc>
        <w:tc>
          <w:tcPr>
            <w:tcW w:w="720" w:type="dxa"/>
            <w:vAlign w:val="bottom"/>
            <w:shd w:val="clear" w:color="auto" w:fill="5668B0"/>
          </w:tcPr>
          <w:p>
            <w:pPr>
              <w:jc w:val="right"/>
              <w:ind w:right="19"/>
              <w:spacing w:after="0"/>
              <w:rPr>
                <w:sz w:val="20"/>
                <w:szCs w:val="20"/>
                <w:color w:val="auto"/>
              </w:rPr>
            </w:pPr>
            <w:r>
              <w:rPr>
                <w:rFonts w:ascii="Arial" w:cs="Arial" w:eastAsia="Arial" w:hAnsi="Arial"/>
                <w:sz w:val="13"/>
                <w:szCs w:val="13"/>
                <w:color w:val="FFFFFE"/>
              </w:rPr>
              <w:t>of Class</w:t>
            </w:r>
          </w:p>
        </w:tc>
        <w:tc>
          <w:tcPr>
            <w:tcW w:w="1240" w:type="dxa"/>
            <w:vAlign w:val="bottom"/>
            <w:vMerge w:val="continue"/>
            <w:shd w:val="clear" w:color="auto" w:fill="5668B0"/>
          </w:tcPr>
          <w:p>
            <w:pPr>
              <w:spacing w:after="0"/>
              <w:rPr>
                <w:sz w:val="19"/>
                <w:szCs w:val="19"/>
                <w:color w:val="auto"/>
              </w:rPr>
            </w:pPr>
          </w:p>
        </w:tc>
        <w:tc>
          <w:tcPr>
            <w:tcW w:w="62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of Class</w:t>
            </w:r>
          </w:p>
        </w:tc>
        <w:tc>
          <w:tcPr>
            <w:tcW w:w="0" w:type="dxa"/>
            <w:vAlign w:val="bottom"/>
          </w:tcPr>
          <w:p>
            <w:pPr>
              <w:spacing w:after="0"/>
              <w:rPr>
                <w:sz w:val="1"/>
                <w:szCs w:val="1"/>
                <w:color w:val="auto"/>
              </w:rPr>
            </w:pPr>
          </w:p>
        </w:tc>
      </w:tr>
      <w:tr>
        <w:trPr>
          <w:trHeight w:val="73"/>
        </w:trPr>
        <w:tc>
          <w:tcPr>
            <w:tcW w:w="4760" w:type="dxa"/>
            <w:vAlign w:val="bottom"/>
            <w:gridSpan w:val="2"/>
            <w:shd w:val="clear" w:color="auto" w:fill="5668B0"/>
          </w:tcPr>
          <w:p>
            <w:pPr>
              <w:spacing w:after="0"/>
              <w:rPr>
                <w:sz w:val="6"/>
                <w:szCs w:val="6"/>
                <w:color w:val="auto"/>
              </w:rPr>
            </w:pPr>
          </w:p>
        </w:tc>
        <w:tc>
          <w:tcPr>
            <w:tcW w:w="1080" w:type="dxa"/>
            <w:vAlign w:val="bottom"/>
            <w:shd w:val="clear" w:color="auto" w:fill="5668B0"/>
          </w:tcPr>
          <w:p>
            <w:pPr>
              <w:spacing w:after="0"/>
              <w:rPr>
                <w:sz w:val="6"/>
                <w:szCs w:val="6"/>
                <w:color w:val="auto"/>
              </w:rPr>
            </w:pPr>
          </w:p>
        </w:tc>
        <w:tc>
          <w:tcPr>
            <w:tcW w:w="720" w:type="dxa"/>
            <w:vAlign w:val="bottom"/>
            <w:shd w:val="clear" w:color="auto" w:fill="5668B0"/>
          </w:tcPr>
          <w:p>
            <w:pPr>
              <w:spacing w:after="0"/>
              <w:rPr>
                <w:sz w:val="6"/>
                <w:szCs w:val="6"/>
                <w:color w:val="auto"/>
              </w:rPr>
            </w:pPr>
          </w:p>
        </w:tc>
        <w:tc>
          <w:tcPr>
            <w:tcW w:w="1240" w:type="dxa"/>
            <w:vAlign w:val="bottom"/>
            <w:shd w:val="clear" w:color="auto" w:fill="5668B0"/>
          </w:tcPr>
          <w:p>
            <w:pPr>
              <w:spacing w:after="0"/>
              <w:rPr>
                <w:sz w:val="6"/>
                <w:szCs w:val="6"/>
                <w:color w:val="auto"/>
              </w:rPr>
            </w:pPr>
          </w:p>
        </w:tc>
        <w:tc>
          <w:tcPr>
            <w:tcW w:w="620" w:type="dxa"/>
            <w:vAlign w:val="bottom"/>
            <w:shd w:val="clear" w:color="auto" w:fill="5668B0"/>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760" w:type="dxa"/>
            <w:vAlign w:val="bottom"/>
            <w:gridSpan w:val="2"/>
          </w:tcPr>
          <w:p>
            <w:pPr>
              <w:ind w:left="20"/>
              <w:spacing w:after="0" w:line="173" w:lineRule="exact"/>
              <w:rPr>
                <w:sz w:val="20"/>
                <w:szCs w:val="20"/>
                <w:color w:val="auto"/>
              </w:rPr>
            </w:pPr>
            <w:r>
              <w:rPr>
                <w:rFonts w:ascii="Arial" w:cs="Arial" w:eastAsia="Arial" w:hAnsi="Arial"/>
                <w:sz w:val="16"/>
                <w:szCs w:val="16"/>
                <w:b w:val="1"/>
                <w:bCs w:val="1"/>
                <w:color w:val="auto"/>
              </w:rPr>
              <w:t>Beneficial Owners of 5% or More of Common Stock or</w:t>
            </w: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Arial" w:cs="Arial" w:eastAsia="Arial" w:hAnsi="Arial"/>
                <w:sz w:val="16"/>
                <w:szCs w:val="16"/>
                <w:b w:val="1"/>
                <w:bCs w:val="1"/>
                <w:color w:val="auto"/>
              </w:rPr>
              <w:t>Class A Stock (Other Than Directors and Executive</w:t>
            </w: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5668B0"/>
            </w:tcBorders>
          </w:tcPr>
          <w:p>
            <w:pPr>
              <w:spacing w:after="0"/>
              <w:rPr>
                <w:sz w:val="17"/>
                <w:szCs w:val="17"/>
                <w:color w:val="auto"/>
              </w:rPr>
            </w:pPr>
          </w:p>
        </w:tc>
        <w:tc>
          <w:tcPr>
            <w:tcW w:w="4660" w:type="dxa"/>
            <w:vAlign w:val="bottom"/>
            <w:tcBorders>
              <w:bottom w:val="single" w:sz="8" w:color="5668B0"/>
            </w:tcBorders>
          </w:tcPr>
          <w:p>
            <w:pPr>
              <w:ind w:left="40"/>
              <w:spacing w:after="0"/>
              <w:rPr>
                <w:sz w:val="20"/>
                <w:szCs w:val="20"/>
                <w:color w:val="auto"/>
              </w:rPr>
            </w:pPr>
            <w:r>
              <w:rPr>
                <w:rFonts w:ascii="Arial" w:cs="Arial" w:eastAsia="Arial" w:hAnsi="Arial"/>
                <w:sz w:val="16"/>
                <w:szCs w:val="16"/>
                <w:b w:val="1"/>
                <w:bCs w:val="1"/>
                <w:color w:val="auto"/>
              </w:rPr>
              <w:t>Officers):</w:t>
            </w:r>
          </w:p>
        </w:tc>
        <w:tc>
          <w:tcPr>
            <w:tcW w:w="1080" w:type="dxa"/>
            <w:vAlign w:val="bottom"/>
            <w:tcBorders>
              <w:bottom w:val="single" w:sz="8" w:color="5668B0"/>
            </w:tcBorders>
          </w:tcPr>
          <w:p>
            <w:pPr>
              <w:spacing w:after="0"/>
              <w:rPr>
                <w:sz w:val="17"/>
                <w:szCs w:val="17"/>
                <w:color w:val="auto"/>
              </w:rPr>
            </w:pPr>
          </w:p>
        </w:tc>
        <w:tc>
          <w:tcPr>
            <w:tcW w:w="720" w:type="dxa"/>
            <w:vAlign w:val="bottom"/>
            <w:tcBorders>
              <w:bottom w:val="single" w:sz="8" w:color="5668B0"/>
            </w:tcBorders>
          </w:tcPr>
          <w:p>
            <w:pPr>
              <w:spacing w:after="0"/>
              <w:rPr>
                <w:sz w:val="17"/>
                <w:szCs w:val="17"/>
                <w:color w:val="auto"/>
              </w:rPr>
            </w:pPr>
          </w:p>
        </w:tc>
        <w:tc>
          <w:tcPr>
            <w:tcW w:w="1240" w:type="dxa"/>
            <w:vAlign w:val="bottom"/>
            <w:tcBorders>
              <w:bottom w:val="single" w:sz="8" w:color="5668B0"/>
            </w:tcBorders>
          </w:tcPr>
          <w:p>
            <w:pPr>
              <w:spacing w:after="0"/>
              <w:rPr>
                <w:sz w:val="17"/>
                <w:szCs w:val="17"/>
                <w:color w:val="auto"/>
              </w:rPr>
            </w:pPr>
          </w:p>
        </w:tc>
        <w:tc>
          <w:tcPr>
            <w:tcW w:w="620" w:type="dxa"/>
            <w:vAlign w:val="bottom"/>
            <w:tcBorders>
              <w:bottom w:val="single" w:sz="8" w:color="5668B0"/>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E6ECF8"/>
          </w:tcPr>
          <w:p>
            <w:pPr>
              <w:ind w:left="20"/>
              <w:spacing w:after="0" w:line="221" w:lineRule="exact"/>
              <w:rPr>
                <w:sz w:val="20"/>
                <w:szCs w:val="20"/>
                <w:color w:val="auto"/>
              </w:rPr>
            </w:pPr>
            <w:r>
              <w:rPr>
                <w:rFonts w:ascii="Arial" w:cs="Arial" w:eastAsia="Arial" w:hAnsi="Arial"/>
                <w:sz w:val="15"/>
                <w:szCs w:val="15"/>
                <w:color w:val="auto"/>
              </w:rPr>
              <w:t xml:space="preserve">Sanofi </w:t>
            </w:r>
            <w:r>
              <w:rPr>
                <w:rFonts w:ascii="Arial" w:cs="Arial" w:eastAsia="Arial" w:hAnsi="Arial"/>
                <w:sz w:val="25"/>
                <w:szCs w:val="25"/>
                <w:color w:val="5668B0"/>
                <w:vertAlign w:val="superscript"/>
              </w:rPr>
              <w:t>3</w:t>
            </w:r>
          </w:p>
        </w:tc>
        <w:tc>
          <w:tcPr>
            <w:tcW w:w="1080" w:type="dxa"/>
            <w:vAlign w:val="bottom"/>
            <w:shd w:val="clear" w:color="auto" w:fill="E6ECF8"/>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shd w:val="clear" w:color="auto" w:fill="E6ECF8"/>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6ECF8"/>
          </w:tcPr>
          <w:p>
            <w:pPr>
              <w:jc w:val="right"/>
              <w:ind w:right="230"/>
              <w:spacing w:after="0"/>
              <w:rPr>
                <w:sz w:val="20"/>
                <w:szCs w:val="20"/>
                <w:color w:val="auto"/>
              </w:rPr>
            </w:pPr>
            <w:r>
              <w:rPr>
                <w:rFonts w:ascii="Arial" w:cs="Arial" w:eastAsia="Arial" w:hAnsi="Arial"/>
                <w:sz w:val="16"/>
                <w:szCs w:val="16"/>
                <w:color w:val="auto"/>
              </w:rPr>
              <w:t>23,353,665</w:t>
            </w:r>
          </w:p>
        </w:tc>
        <w:tc>
          <w:tcPr>
            <w:tcW w:w="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54, rue La Boetie</w:t>
            </w: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2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75008 Paris</w:t>
            </w: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2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5668B0"/>
            </w:tcBorders>
            <w:shd w:val="clear" w:color="auto" w:fill="E6ECF8"/>
          </w:tcPr>
          <w:p>
            <w:pPr>
              <w:spacing w:after="0"/>
              <w:rPr>
                <w:sz w:val="16"/>
                <w:szCs w:val="16"/>
                <w:color w:val="auto"/>
              </w:rPr>
            </w:pPr>
          </w:p>
        </w:tc>
        <w:tc>
          <w:tcPr>
            <w:tcW w:w="4660" w:type="dxa"/>
            <w:vAlign w:val="bottom"/>
            <w:tcBorders>
              <w:bottom w:val="single" w:sz="8" w:color="5668B0"/>
            </w:tcBorders>
            <w:shd w:val="clear" w:color="auto" w:fill="E6ECF8"/>
          </w:tcPr>
          <w:p>
            <w:pPr>
              <w:ind w:left="40"/>
              <w:spacing w:after="0"/>
              <w:rPr>
                <w:sz w:val="20"/>
                <w:szCs w:val="20"/>
                <w:color w:val="auto"/>
              </w:rPr>
            </w:pPr>
            <w:r>
              <w:rPr>
                <w:rFonts w:ascii="Arial" w:cs="Arial" w:eastAsia="Arial" w:hAnsi="Arial"/>
                <w:sz w:val="16"/>
                <w:szCs w:val="16"/>
                <w:color w:val="auto"/>
              </w:rPr>
              <w:t>France</w:t>
            </w:r>
          </w:p>
        </w:tc>
        <w:tc>
          <w:tcPr>
            <w:tcW w:w="1080" w:type="dxa"/>
            <w:vAlign w:val="bottom"/>
            <w:tcBorders>
              <w:bottom w:val="single" w:sz="8" w:color="5668B0"/>
            </w:tcBorders>
            <w:shd w:val="clear" w:color="auto" w:fill="E6ECF8"/>
          </w:tcPr>
          <w:p>
            <w:pPr>
              <w:spacing w:after="0"/>
              <w:rPr>
                <w:sz w:val="16"/>
                <w:szCs w:val="16"/>
                <w:color w:val="auto"/>
              </w:rPr>
            </w:pPr>
          </w:p>
        </w:tc>
        <w:tc>
          <w:tcPr>
            <w:tcW w:w="720" w:type="dxa"/>
            <w:vAlign w:val="bottom"/>
            <w:tcBorders>
              <w:bottom w:val="single" w:sz="8" w:color="5668B0"/>
            </w:tcBorders>
            <w:shd w:val="clear" w:color="auto" w:fill="E6ECF8"/>
          </w:tcPr>
          <w:p>
            <w:pPr>
              <w:spacing w:after="0"/>
              <w:rPr>
                <w:sz w:val="16"/>
                <w:szCs w:val="16"/>
                <w:color w:val="auto"/>
              </w:rPr>
            </w:pPr>
          </w:p>
        </w:tc>
        <w:tc>
          <w:tcPr>
            <w:tcW w:w="1240" w:type="dxa"/>
            <w:vAlign w:val="bottom"/>
            <w:tcBorders>
              <w:bottom w:val="single" w:sz="8" w:color="5668B0"/>
            </w:tcBorders>
            <w:shd w:val="clear" w:color="auto" w:fill="E6ECF8"/>
          </w:tcPr>
          <w:p>
            <w:pPr>
              <w:spacing w:after="0"/>
              <w:rPr>
                <w:sz w:val="16"/>
                <w:szCs w:val="16"/>
                <w:color w:val="auto"/>
              </w:rPr>
            </w:pPr>
          </w:p>
        </w:tc>
        <w:tc>
          <w:tcPr>
            <w:tcW w:w="620" w:type="dxa"/>
            <w:vAlign w:val="bottom"/>
            <w:tcBorders>
              <w:bottom w:val="single" w:sz="8" w:color="5668B0"/>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 xml:space="preserve">Capital World Investors </w:t>
            </w:r>
            <w:r>
              <w:rPr>
                <w:rFonts w:ascii="Arial" w:cs="Arial" w:eastAsia="Arial" w:hAnsi="Arial"/>
                <w:sz w:val="25"/>
                <w:szCs w:val="25"/>
                <w:color w:val="5668B0"/>
                <w:vertAlign w:val="superscript"/>
              </w:rPr>
              <w:t>4</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0"/>
              <w:spacing w:after="0"/>
              <w:rPr>
                <w:sz w:val="20"/>
                <w:szCs w:val="20"/>
                <w:color w:val="auto"/>
              </w:rPr>
            </w:pPr>
            <w:r>
              <w:rPr>
                <w:rFonts w:ascii="Arial" w:cs="Arial" w:eastAsia="Arial" w:hAnsi="Arial"/>
                <w:sz w:val="16"/>
                <w:szCs w:val="16"/>
                <w:color w:val="auto"/>
              </w:rPr>
              <w:t>6,804,465</w:t>
            </w: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Arial" w:cs="Arial" w:eastAsia="Arial" w:hAnsi="Arial"/>
                <w:sz w:val="16"/>
                <w:szCs w:val="16"/>
                <w:color w:val="auto"/>
              </w:rPr>
              <w:t>333 South Hope Street</w:t>
            </w: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Borders>
              <w:bottom w:val="single" w:sz="8" w:color="5668B0"/>
            </w:tcBorders>
          </w:tcPr>
          <w:p>
            <w:pPr>
              <w:spacing w:after="0"/>
              <w:rPr>
                <w:sz w:val="16"/>
                <w:szCs w:val="16"/>
                <w:color w:val="auto"/>
              </w:rPr>
            </w:pPr>
          </w:p>
        </w:tc>
        <w:tc>
          <w:tcPr>
            <w:tcW w:w="4660" w:type="dxa"/>
            <w:vAlign w:val="bottom"/>
            <w:tcBorders>
              <w:bottom w:val="single" w:sz="8" w:color="5668B0"/>
            </w:tcBorders>
          </w:tcPr>
          <w:p>
            <w:pPr>
              <w:ind w:left="40"/>
              <w:spacing w:after="0"/>
              <w:rPr>
                <w:sz w:val="20"/>
                <w:szCs w:val="20"/>
                <w:color w:val="auto"/>
              </w:rPr>
            </w:pPr>
            <w:r>
              <w:rPr>
                <w:rFonts w:ascii="Arial" w:cs="Arial" w:eastAsia="Arial" w:hAnsi="Arial"/>
                <w:sz w:val="16"/>
                <w:szCs w:val="16"/>
                <w:color w:val="auto"/>
              </w:rPr>
              <w:t>Los Angeles, California 90071</w:t>
            </w:r>
          </w:p>
        </w:tc>
        <w:tc>
          <w:tcPr>
            <w:tcW w:w="1080" w:type="dxa"/>
            <w:vAlign w:val="bottom"/>
            <w:tcBorders>
              <w:bottom w:val="single" w:sz="8" w:color="5668B0"/>
            </w:tcBorders>
          </w:tcPr>
          <w:p>
            <w:pPr>
              <w:spacing w:after="0"/>
              <w:rPr>
                <w:sz w:val="16"/>
                <w:szCs w:val="16"/>
                <w:color w:val="auto"/>
              </w:rPr>
            </w:pPr>
          </w:p>
        </w:tc>
        <w:tc>
          <w:tcPr>
            <w:tcW w:w="720" w:type="dxa"/>
            <w:vAlign w:val="bottom"/>
            <w:tcBorders>
              <w:bottom w:val="single" w:sz="8" w:color="5668B0"/>
            </w:tcBorders>
          </w:tcPr>
          <w:p>
            <w:pPr>
              <w:spacing w:after="0"/>
              <w:rPr>
                <w:sz w:val="16"/>
                <w:szCs w:val="16"/>
                <w:color w:val="auto"/>
              </w:rPr>
            </w:pPr>
          </w:p>
        </w:tc>
        <w:tc>
          <w:tcPr>
            <w:tcW w:w="1240" w:type="dxa"/>
            <w:vAlign w:val="bottom"/>
            <w:tcBorders>
              <w:bottom w:val="single" w:sz="8" w:color="5668B0"/>
            </w:tcBorders>
          </w:tcPr>
          <w:p>
            <w:pPr>
              <w:spacing w:after="0"/>
              <w:rPr>
                <w:sz w:val="16"/>
                <w:szCs w:val="16"/>
                <w:color w:val="auto"/>
              </w:rPr>
            </w:pPr>
          </w:p>
        </w:tc>
        <w:tc>
          <w:tcPr>
            <w:tcW w:w="620" w:type="dxa"/>
            <w:vAlign w:val="bottom"/>
            <w:tcBorders>
              <w:bottom w:val="single" w:sz="8" w:color="5668B0"/>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E6ECF8"/>
          </w:tcPr>
          <w:p>
            <w:pPr>
              <w:ind w:left="20"/>
              <w:spacing w:after="0" w:line="221" w:lineRule="exact"/>
              <w:rPr>
                <w:sz w:val="20"/>
                <w:szCs w:val="20"/>
                <w:color w:val="auto"/>
              </w:rPr>
            </w:pPr>
            <w:r>
              <w:rPr>
                <w:rFonts w:ascii="Arial" w:cs="Arial" w:eastAsia="Arial" w:hAnsi="Arial"/>
                <w:sz w:val="15"/>
                <w:szCs w:val="15"/>
                <w:color w:val="auto"/>
              </w:rPr>
              <w:t xml:space="preserve">FMR LLC </w:t>
            </w:r>
            <w:r>
              <w:rPr>
                <w:rFonts w:ascii="Arial" w:cs="Arial" w:eastAsia="Arial" w:hAnsi="Arial"/>
                <w:sz w:val="25"/>
                <w:szCs w:val="25"/>
                <w:color w:val="5668B0"/>
                <w:vertAlign w:val="superscript"/>
              </w:rPr>
              <w:t>5</w:t>
            </w:r>
          </w:p>
        </w:tc>
        <w:tc>
          <w:tcPr>
            <w:tcW w:w="1080" w:type="dxa"/>
            <w:vAlign w:val="bottom"/>
            <w:shd w:val="clear" w:color="auto" w:fill="E6ECF8"/>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shd w:val="clear" w:color="auto" w:fill="E6ECF8"/>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6ECF8"/>
          </w:tcPr>
          <w:p>
            <w:pPr>
              <w:jc w:val="right"/>
              <w:ind w:right="230"/>
              <w:spacing w:after="0"/>
              <w:rPr>
                <w:sz w:val="20"/>
                <w:szCs w:val="20"/>
                <w:color w:val="auto"/>
              </w:rPr>
            </w:pPr>
            <w:r>
              <w:rPr>
                <w:rFonts w:ascii="Arial" w:cs="Arial" w:eastAsia="Arial" w:hAnsi="Arial"/>
                <w:sz w:val="16"/>
                <w:szCs w:val="16"/>
                <w:color w:val="auto"/>
              </w:rPr>
              <w:t>6,223,092</w:t>
            </w:r>
          </w:p>
        </w:tc>
        <w:tc>
          <w:tcPr>
            <w:tcW w:w="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245 Summer Street</w:t>
            </w: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2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5668B0"/>
            </w:tcBorders>
            <w:shd w:val="clear" w:color="auto" w:fill="E6ECF8"/>
          </w:tcPr>
          <w:p>
            <w:pPr>
              <w:spacing w:after="0"/>
              <w:rPr>
                <w:sz w:val="16"/>
                <w:szCs w:val="16"/>
                <w:color w:val="auto"/>
              </w:rPr>
            </w:pPr>
          </w:p>
        </w:tc>
        <w:tc>
          <w:tcPr>
            <w:tcW w:w="4660" w:type="dxa"/>
            <w:vAlign w:val="bottom"/>
            <w:tcBorders>
              <w:bottom w:val="single" w:sz="8" w:color="5668B0"/>
            </w:tcBorders>
            <w:shd w:val="clear" w:color="auto" w:fill="E6ECF8"/>
          </w:tcPr>
          <w:p>
            <w:pPr>
              <w:ind w:left="40"/>
              <w:spacing w:after="0"/>
              <w:rPr>
                <w:sz w:val="20"/>
                <w:szCs w:val="20"/>
                <w:color w:val="auto"/>
              </w:rPr>
            </w:pPr>
            <w:r>
              <w:rPr>
                <w:rFonts w:ascii="Arial" w:cs="Arial" w:eastAsia="Arial" w:hAnsi="Arial"/>
                <w:sz w:val="16"/>
                <w:szCs w:val="16"/>
                <w:color w:val="auto"/>
              </w:rPr>
              <w:t>Boston, Massachusetts 02210</w:t>
            </w:r>
          </w:p>
        </w:tc>
        <w:tc>
          <w:tcPr>
            <w:tcW w:w="1080" w:type="dxa"/>
            <w:vAlign w:val="bottom"/>
            <w:tcBorders>
              <w:bottom w:val="single" w:sz="8" w:color="5668B0"/>
            </w:tcBorders>
            <w:shd w:val="clear" w:color="auto" w:fill="E6ECF8"/>
          </w:tcPr>
          <w:p>
            <w:pPr>
              <w:spacing w:after="0"/>
              <w:rPr>
                <w:sz w:val="16"/>
                <w:szCs w:val="16"/>
                <w:color w:val="auto"/>
              </w:rPr>
            </w:pPr>
          </w:p>
        </w:tc>
        <w:tc>
          <w:tcPr>
            <w:tcW w:w="720" w:type="dxa"/>
            <w:vAlign w:val="bottom"/>
            <w:tcBorders>
              <w:bottom w:val="single" w:sz="8" w:color="5668B0"/>
            </w:tcBorders>
            <w:shd w:val="clear" w:color="auto" w:fill="E6ECF8"/>
          </w:tcPr>
          <w:p>
            <w:pPr>
              <w:spacing w:after="0"/>
              <w:rPr>
                <w:sz w:val="16"/>
                <w:szCs w:val="16"/>
                <w:color w:val="auto"/>
              </w:rPr>
            </w:pPr>
          </w:p>
        </w:tc>
        <w:tc>
          <w:tcPr>
            <w:tcW w:w="1240" w:type="dxa"/>
            <w:vAlign w:val="bottom"/>
            <w:tcBorders>
              <w:bottom w:val="single" w:sz="8" w:color="5668B0"/>
            </w:tcBorders>
            <w:shd w:val="clear" w:color="auto" w:fill="E6ECF8"/>
          </w:tcPr>
          <w:p>
            <w:pPr>
              <w:spacing w:after="0"/>
              <w:rPr>
                <w:sz w:val="16"/>
                <w:szCs w:val="16"/>
                <w:color w:val="auto"/>
              </w:rPr>
            </w:pPr>
          </w:p>
        </w:tc>
        <w:tc>
          <w:tcPr>
            <w:tcW w:w="620" w:type="dxa"/>
            <w:vAlign w:val="bottom"/>
            <w:tcBorders>
              <w:bottom w:val="single" w:sz="8" w:color="5668B0"/>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 xml:space="preserve">BlackRock, Inc. </w:t>
            </w:r>
            <w:r>
              <w:rPr>
                <w:rFonts w:ascii="Arial" w:cs="Arial" w:eastAsia="Arial" w:hAnsi="Arial"/>
                <w:sz w:val="25"/>
                <w:szCs w:val="25"/>
                <w:color w:val="5668B0"/>
                <w:vertAlign w:val="superscript"/>
              </w:rPr>
              <w:t>6</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0"/>
              <w:spacing w:after="0"/>
              <w:rPr>
                <w:sz w:val="20"/>
                <w:szCs w:val="20"/>
                <w:color w:val="auto"/>
              </w:rPr>
            </w:pPr>
            <w:r>
              <w:rPr>
                <w:rFonts w:ascii="Arial" w:cs="Arial" w:eastAsia="Arial" w:hAnsi="Arial"/>
                <w:sz w:val="16"/>
                <w:szCs w:val="16"/>
                <w:color w:val="auto"/>
              </w:rPr>
              <w:t>5,382,473</w:t>
            </w: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Arial" w:cs="Arial" w:eastAsia="Arial" w:hAnsi="Arial"/>
                <w:sz w:val="16"/>
                <w:szCs w:val="16"/>
                <w:color w:val="auto"/>
              </w:rPr>
              <w:t>55 East 52nd Street</w:t>
            </w: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Borders>
              <w:bottom w:val="single" w:sz="8" w:color="5668B0"/>
            </w:tcBorders>
          </w:tcPr>
          <w:p>
            <w:pPr>
              <w:spacing w:after="0"/>
              <w:rPr>
                <w:sz w:val="16"/>
                <w:szCs w:val="16"/>
                <w:color w:val="auto"/>
              </w:rPr>
            </w:pPr>
          </w:p>
        </w:tc>
        <w:tc>
          <w:tcPr>
            <w:tcW w:w="4660" w:type="dxa"/>
            <w:vAlign w:val="bottom"/>
            <w:tcBorders>
              <w:bottom w:val="single" w:sz="8" w:color="5668B0"/>
            </w:tcBorders>
          </w:tcPr>
          <w:p>
            <w:pPr>
              <w:ind w:left="40"/>
              <w:spacing w:after="0"/>
              <w:rPr>
                <w:sz w:val="20"/>
                <w:szCs w:val="20"/>
                <w:color w:val="auto"/>
              </w:rPr>
            </w:pPr>
            <w:r>
              <w:rPr>
                <w:rFonts w:ascii="Arial" w:cs="Arial" w:eastAsia="Arial" w:hAnsi="Arial"/>
                <w:sz w:val="16"/>
                <w:szCs w:val="16"/>
                <w:color w:val="auto"/>
              </w:rPr>
              <w:t>New York, New York 10055</w:t>
            </w:r>
          </w:p>
        </w:tc>
        <w:tc>
          <w:tcPr>
            <w:tcW w:w="1080" w:type="dxa"/>
            <w:vAlign w:val="bottom"/>
            <w:tcBorders>
              <w:bottom w:val="single" w:sz="8" w:color="5668B0"/>
            </w:tcBorders>
          </w:tcPr>
          <w:p>
            <w:pPr>
              <w:spacing w:after="0"/>
              <w:rPr>
                <w:sz w:val="16"/>
                <w:szCs w:val="16"/>
                <w:color w:val="auto"/>
              </w:rPr>
            </w:pPr>
          </w:p>
        </w:tc>
        <w:tc>
          <w:tcPr>
            <w:tcW w:w="720" w:type="dxa"/>
            <w:vAlign w:val="bottom"/>
            <w:tcBorders>
              <w:bottom w:val="single" w:sz="8" w:color="5668B0"/>
            </w:tcBorders>
          </w:tcPr>
          <w:p>
            <w:pPr>
              <w:spacing w:after="0"/>
              <w:rPr>
                <w:sz w:val="16"/>
                <w:szCs w:val="16"/>
                <w:color w:val="auto"/>
              </w:rPr>
            </w:pPr>
          </w:p>
        </w:tc>
        <w:tc>
          <w:tcPr>
            <w:tcW w:w="1240" w:type="dxa"/>
            <w:vAlign w:val="bottom"/>
            <w:tcBorders>
              <w:bottom w:val="single" w:sz="8" w:color="5668B0"/>
            </w:tcBorders>
          </w:tcPr>
          <w:p>
            <w:pPr>
              <w:spacing w:after="0"/>
              <w:rPr>
                <w:sz w:val="16"/>
                <w:szCs w:val="16"/>
                <w:color w:val="auto"/>
              </w:rPr>
            </w:pPr>
          </w:p>
        </w:tc>
        <w:tc>
          <w:tcPr>
            <w:tcW w:w="620" w:type="dxa"/>
            <w:vAlign w:val="bottom"/>
            <w:tcBorders>
              <w:bottom w:val="single" w:sz="8" w:color="5668B0"/>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tcBorders>
              <w:bottom w:val="single" w:sz="8" w:color="5668B0"/>
            </w:tcBorders>
            <w:gridSpan w:val="2"/>
            <w:shd w:val="clear" w:color="auto" w:fill="E6ECF8"/>
          </w:tcPr>
          <w:p>
            <w:pPr>
              <w:ind w:left="20"/>
              <w:spacing w:after="0" w:line="221" w:lineRule="exact"/>
              <w:rPr>
                <w:sz w:val="20"/>
                <w:szCs w:val="20"/>
                <w:color w:val="auto"/>
              </w:rPr>
            </w:pPr>
            <w:r>
              <w:rPr>
                <w:rFonts w:ascii="Arial" w:cs="Arial" w:eastAsia="Arial" w:hAnsi="Arial"/>
                <w:sz w:val="15"/>
                <w:szCs w:val="15"/>
                <w:b w:val="1"/>
                <w:bCs w:val="1"/>
                <w:color w:val="auto"/>
              </w:rPr>
              <w:t xml:space="preserve">Directors and Executive Officers: </w:t>
            </w:r>
            <w:r>
              <w:rPr>
                <w:rFonts w:ascii="Arial" w:cs="Arial" w:eastAsia="Arial" w:hAnsi="Arial"/>
                <w:sz w:val="25"/>
                <w:szCs w:val="25"/>
                <w:b w:val="1"/>
                <w:bCs w:val="1"/>
                <w:color w:val="5668B0"/>
                <w:vertAlign w:val="superscript"/>
              </w:rPr>
              <w:t>7</w:t>
            </w:r>
          </w:p>
        </w:tc>
        <w:tc>
          <w:tcPr>
            <w:tcW w:w="1080" w:type="dxa"/>
            <w:vAlign w:val="bottom"/>
            <w:tcBorders>
              <w:bottom w:val="single" w:sz="8" w:color="5668B0"/>
            </w:tcBorders>
            <w:shd w:val="clear" w:color="auto" w:fill="E6ECF8"/>
          </w:tcPr>
          <w:p>
            <w:pPr>
              <w:spacing w:after="0"/>
              <w:rPr>
                <w:sz w:val="19"/>
                <w:szCs w:val="19"/>
                <w:color w:val="auto"/>
              </w:rPr>
            </w:pPr>
          </w:p>
        </w:tc>
        <w:tc>
          <w:tcPr>
            <w:tcW w:w="720" w:type="dxa"/>
            <w:vAlign w:val="bottom"/>
            <w:tcBorders>
              <w:bottom w:val="single" w:sz="8" w:color="5668B0"/>
            </w:tcBorders>
            <w:shd w:val="clear" w:color="auto" w:fill="E6ECF8"/>
          </w:tcPr>
          <w:p>
            <w:pPr>
              <w:spacing w:after="0"/>
              <w:rPr>
                <w:sz w:val="19"/>
                <w:szCs w:val="19"/>
                <w:color w:val="auto"/>
              </w:rPr>
            </w:pPr>
          </w:p>
        </w:tc>
        <w:tc>
          <w:tcPr>
            <w:tcW w:w="1240" w:type="dxa"/>
            <w:vAlign w:val="bottom"/>
            <w:tcBorders>
              <w:bottom w:val="single" w:sz="8" w:color="5668B0"/>
            </w:tcBorders>
            <w:shd w:val="clear" w:color="auto" w:fill="E6ECF8"/>
          </w:tcPr>
          <w:p>
            <w:pPr>
              <w:spacing w:after="0"/>
              <w:rPr>
                <w:sz w:val="19"/>
                <w:szCs w:val="19"/>
                <w:color w:val="auto"/>
              </w:rPr>
            </w:pPr>
          </w:p>
        </w:tc>
        <w:tc>
          <w:tcPr>
            <w:tcW w:w="620" w:type="dxa"/>
            <w:vAlign w:val="bottom"/>
            <w:tcBorders>
              <w:bottom w:val="single" w:sz="8" w:color="5668B0"/>
            </w:tcBorders>
            <w:shd w:val="clear" w:color="auto" w:fill="E6ECF8"/>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tcPr>
          <w:p>
            <w:pPr>
              <w:ind w:left="20"/>
              <w:spacing w:after="0" w:line="182" w:lineRule="exact"/>
              <w:rPr>
                <w:sz w:val="20"/>
                <w:szCs w:val="20"/>
                <w:color w:val="auto"/>
              </w:rPr>
            </w:pPr>
            <w:r>
              <w:rPr>
                <w:rFonts w:ascii="Arial" w:cs="Arial" w:eastAsia="Arial" w:hAnsi="Arial"/>
                <w:sz w:val="16"/>
                <w:szCs w:val="16"/>
                <w:color w:val="auto"/>
              </w:rPr>
              <w:t>Leonard S. Schleifer, M.D., Ph.D.</w:t>
            </w:r>
          </w:p>
        </w:tc>
        <w:tc>
          <w:tcPr>
            <w:tcW w:w="1080" w:type="dxa"/>
            <w:vAlign w:val="bottom"/>
            <w:tcBorders>
              <w:bottom w:val="single" w:sz="8" w:color="5668B0"/>
            </w:tcBorders>
          </w:tcPr>
          <w:p>
            <w:pPr>
              <w:jc w:val="right"/>
              <w:ind w:right="122"/>
              <w:spacing w:after="0" w:line="183" w:lineRule="exact"/>
              <w:rPr>
                <w:sz w:val="20"/>
                <w:szCs w:val="20"/>
                <w:color w:val="auto"/>
              </w:rPr>
            </w:pPr>
            <w:r>
              <w:rPr>
                <w:rFonts w:ascii="Arial" w:cs="Arial" w:eastAsia="Arial" w:hAnsi="Arial"/>
                <w:sz w:val="13"/>
                <w:szCs w:val="13"/>
                <w:color w:val="auto"/>
              </w:rPr>
              <w:t>1,726,565</w:t>
            </w:r>
            <w:r>
              <w:rPr>
                <w:rFonts w:ascii="Arial" w:cs="Arial" w:eastAsia="Arial" w:hAnsi="Arial"/>
                <w:sz w:val="21"/>
                <w:szCs w:val="21"/>
                <w:color w:val="5668B0"/>
                <w:vertAlign w:val="superscript"/>
              </w:rPr>
              <w:t>8</w:t>
            </w:r>
          </w:p>
        </w:tc>
        <w:tc>
          <w:tcPr>
            <w:tcW w:w="720" w:type="dxa"/>
            <w:vAlign w:val="bottom"/>
            <w:tcBorders>
              <w:bottom w:val="single" w:sz="8" w:color="5668B0"/>
            </w:tcBorders>
          </w:tcPr>
          <w:p>
            <w:pPr>
              <w:jc w:val="right"/>
              <w:ind w:right="19"/>
              <w:spacing w:after="0" w:line="182" w:lineRule="exact"/>
              <w:rPr>
                <w:sz w:val="20"/>
                <w:szCs w:val="20"/>
                <w:color w:val="auto"/>
              </w:rPr>
            </w:pPr>
            <w:r>
              <w:rPr>
                <w:rFonts w:ascii="Arial" w:cs="Arial" w:eastAsia="Arial" w:hAnsi="Arial"/>
                <w:sz w:val="16"/>
                <w:szCs w:val="16"/>
                <w:color w:val="auto"/>
              </w:rPr>
              <w:t>90.3%</w:t>
            </w:r>
          </w:p>
        </w:tc>
        <w:tc>
          <w:tcPr>
            <w:tcW w:w="1240" w:type="dxa"/>
            <w:vAlign w:val="bottom"/>
            <w:tcBorders>
              <w:bottom w:val="single" w:sz="8" w:color="5668B0"/>
            </w:tcBorders>
          </w:tcPr>
          <w:p>
            <w:pPr>
              <w:jc w:val="right"/>
              <w:ind w:right="170"/>
              <w:spacing w:after="0" w:line="183" w:lineRule="exact"/>
              <w:rPr>
                <w:sz w:val="20"/>
                <w:szCs w:val="20"/>
                <w:color w:val="auto"/>
              </w:rPr>
            </w:pPr>
            <w:r>
              <w:rPr>
                <w:rFonts w:ascii="Arial" w:cs="Arial" w:eastAsia="Arial" w:hAnsi="Arial"/>
                <w:sz w:val="13"/>
                <w:szCs w:val="13"/>
                <w:color w:val="auto"/>
              </w:rPr>
              <w:t>3,993,844</w:t>
            </w:r>
            <w:r>
              <w:rPr>
                <w:rFonts w:ascii="Arial" w:cs="Arial" w:eastAsia="Arial" w:hAnsi="Arial"/>
                <w:sz w:val="21"/>
                <w:szCs w:val="21"/>
                <w:color w:val="5668B0"/>
                <w:vertAlign w:val="superscript"/>
              </w:rPr>
              <w:t>9</w:t>
            </w:r>
          </w:p>
        </w:tc>
        <w:tc>
          <w:tcPr>
            <w:tcW w:w="620" w:type="dxa"/>
            <w:vAlign w:val="bottom"/>
            <w:tcBorders>
              <w:bottom w:val="single" w:sz="8" w:color="5668B0"/>
            </w:tcBorders>
          </w:tcPr>
          <w:p>
            <w:pPr>
              <w:jc w:val="right"/>
              <w:spacing w:after="0" w:line="182"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P. Roy Vagelos, M.D.</w:t>
            </w:r>
          </w:p>
        </w:tc>
        <w:tc>
          <w:tcPr>
            <w:tcW w:w="1080" w:type="dxa"/>
            <w:vAlign w:val="bottom"/>
            <w:tcBorders>
              <w:bottom w:val="single" w:sz="8" w:color="5668B0"/>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2,875,335</w:t>
            </w:r>
            <w:r>
              <w:rPr>
                <w:rFonts w:ascii="Arial" w:cs="Arial" w:eastAsia="Arial" w:hAnsi="Arial"/>
                <w:sz w:val="21"/>
                <w:szCs w:val="21"/>
                <w:color w:val="5668B0"/>
                <w:vertAlign w:val="superscript"/>
              </w:rPr>
              <w:t>10</w:t>
            </w:r>
          </w:p>
        </w:tc>
        <w:tc>
          <w:tcPr>
            <w:tcW w:w="620" w:type="dxa"/>
            <w:vAlign w:val="bottom"/>
            <w:tcBorders>
              <w:bottom w:val="single" w:sz="8" w:color="5668B0"/>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tcPr>
          <w:p>
            <w:pPr>
              <w:ind w:left="20"/>
              <w:spacing w:after="0" w:line="182" w:lineRule="exact"/>
              <w:rPr>
                <w:sz w:val="20"/>
                <w:szCs w:val="20"/>
                <w:color w:val="auto"/>
              </w:rPr>
            </w:pPr>
            <w:r>
              <w:rPr>
                <w:rFonts w:ascii="Arial" w:cs="Arial" w:eastAsia="Arial" w:hAnsi="Arial"/>
                <w:sz w:val="16"/>
                <w:szCs w:val="16"/>
                <w:color w:val="auto"/>
              </w:rPr>
              <w:t>George D. Yancopoulos, M.D., Ph.D.</w:t>
            </w:r>
          </w:p>
        </w:tc>
        <w:tc>
          <w:tcPr>
            <w:tcW w:w="1080" w:type="dxa"/>
            <w:vAlign w:val="bottom"/>
            <w:tcBorders>
              <w:bottom w:val="single" w:sz="8" w:color="5668B0"/>
            </w:tcBorders>
          </w:tcPr>
          <w:p>
            <w:pPr>
              <w:jc w:val="right"/>
              <w:ind w:right="62"/>
              <w:spacing w:after="0" w:line="183" w:lineRule="exact"/>
              <w:rPr>
                <w:sz w:val="20"/>
                <w:szCs w:val="20"/>
                <w:color w:val="auto"/>
              </w:rPr>
            </w:pPr>
            <w:r>
              <w:rPr>
                <w:rFonts w:ascii="Arial" w:cs="Arial" w:eastAsia="Arial" w:hAnsi="Arial"/>
                <w:sz w:val="13"/>
                <w:szCs w:val="13"/>
                <w:color w:val="auto"/>
              </w:rPr>
              <w:t>42,750</w:t>
            </w:r>
            <w:r>
              <w:rPr>
                <w:rFonts w:ascii="Arial" w:cs="Arial" w:eastAsia="Arial" w:hAnsi="Arial"/>
                <w:sz w:val="21"/>
                <w:szCs w:val="21"/>
                <w:color w:val="5668B0"/>
                <w:vertAlign w:val="superscript"/>
              </w:rPr>
              <w:t>11</w:t>
            </w:r>
          </w:p>
        </w:tc>
        <w:tc>
          <w:tcPr>
            <w:tcW w:w="720" w:type="dxa"/>
            <w:vAlign w:val="bottom"/>
            <w:tcBorders>
              <w:bottom w:val="single" w:sz="8" w:color="5668B0"/>
            </w:tcBorders>
          </w:tcPr>
          <w:p>
            <w:pPr>
              <w:jc w:val="right"/>
              <w:ind w:right="19"/>
              <w:spacing w:after="0" w:line="182" w:lineRule="exact"/>
              <w:rPr>
                <w:sz w:val="20"/>
                <w:szCs w:val="20"/>
                <w:color w:val="auto"/>
              </w:rPr>
            </w:pPr>
            <w:r>
              <w:rPr>
                <w:rFonts w:ascii="Arial" w:cs="Arial" w:eastAsia="Arial" w:hAnsi="Arial"/>
                <w:sz w:val="16"/>
                <w:szCs w:val="16"/>
                <w:color w:val="auto"/>
              </w:rPr>
              <w:t>2.2%</w:t>
            </w:r>
          </w:p>
        </w:tc>
        <w:tc>
          <w:tcPr>
            <w:tcW w:w="1240" w:type="dxa"/>
            <w:vAlign w:val="bottom"/>
            <w:tcBorders>
              <w:bottom w:val="single" w:sz="8" w:color="5668B0"/>
            </w:tcBorders>
          </w:tcPr>
          <w:p>
            <w:pPr>
              <w:jc w:val="right"/>
              <w:ind w:right="90"/>
              <w:spacing w:after="0" w:line="183" w:lineRule="exact"/>
              <w:rPr>
                <w:sz w:val="20"/>
                <w:szCs w:val="20"/>
                <w:color w:val="auto"/>
              </w:rPr>
            </w:pPr>
            <w:r>
              <w:rPr>
                <w:rFonts w:ascii="Arial" w:cs="Arial" w:eastAsia="Arial" w:hAnsi="Arial"/>
                <w:sz w:val="13"/>
                <w:szCs w:val="13"/>
                <w:color w:val="auto"/>
              </w:rPr>
              <w:t>2,967,079</w:t>
            </w:r>
            <w:r>
              <w:rPr>
                <w:rFonts w:ascii="Arial" w:cs="Arial" w:eastAsia="Arial" w:hAnsi="Arial"/>
                <w:sz w:val="21"/>
                <w:szCs w:val="21"/>
                <w:color w:val="5668B0"/>
                <w:vertAlign w:val="superscript"/>
              </w:rPr>
              <w:t>12</w:t>
            </w:r>
          </w:p>
        </w:tc>
        <w:tc>
          <w:tcPr>
            <w:tcW w:w="620" w:type="dxa"/>
            <w:vAlign w:val="bottom"/>
            <w:tcBorders>
              <w:bottom w:val="single" w:sz="8" w:color="5668B0"/>
            </w:tcBorders>
          </w:tcPr>
          <w:p>
            <w:pPr>
              <w:jc w:val="right"/>
              <w:spacing w:after="0" w:line="182"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Charles A. Baker</w:t>
            </w:r>
          </w:p>
        </w:tc>
        <w:tc>
          <w:tcPr>
            <w:tcW w:w="1080" w:type="dxa"/>
            <w:vAlign w:val="bottom"/>
            <w:tcBorders>
              <w:bottom w:val="single" w:sz="8" w:color="5668B0"/>
            </w:tcBorders>
            <w:shd w:val="clear" w:color="auto" w:fill="E6ECF8"/>
          </w:tcPr>
          <w:p>
            <w:pPr>
              <w:jc w:val="right"/>
              <w:ind w:right="62"/>
              <w:spacing w:after="0" w:line="183" w:lineRule="exact"/>
              <w:rPr>
                <w:sz w:val="20"/>
                <w:szCs w:val="20"/>
                <w:color w:val="auto"/>
              </w:rPr>
            </w:pPr>
            <w:r>
              <w:rPr>
                <w:rFonts w:ascii="Arial" w:cs="Arial" w:eastAsia="Arial" w:hAnsi="Arial"/>
                <w:sz w:val="13"/>
                <w:szCs w:val="13"/>
                <w:color w:val="auto"/>
              </w:rPr>
              <w:t>62,384</w:t>
            </w:r>
            <w:r>
              <w:rPr>
                <w:rFonts w:ascii="Arial" w:cs="Arial" w:eastAsia="Arial" w:hAnsi="Arial"/>
                <w:sz w:val="21"/>
                <w:szCs w:val="21"/>
                <w:color w:val="5668B0"/>
                <w:vertAlign w:val="superscript"/>
              </w:rPr>
              <w:t>13</w:t>
            </w:r>
          </w:p>
        </w:tc>
        <w:tc>
          <w:tcPr>
            <w:tcW w:w="720" w:type="dxa"/>
            <w:vAlign w:val="bottom"/>
            <w:tcBorders>
              <w:bottom w:val="single" w:sz="8" w:color="5668B0"/>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3.3%</w:t>
            </w:r>
          </w:p>
        </w:tc>
        <w:tc>
          <w:tcPr>
            <w:tcW w:w="1240" w:type="dxa"/>
            <w:vAlign w:val="bottom"/>
            <w:tcBorders>
              <w:bottom w:val="single" w:sz="8" w:color="5668B0"/>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148,497</w:t>
            </w:r>
            <w:r>
              <w:rPr>
                <w:rFonts w:ascii="Arial" w:cs="Arial" w:eastAsia="Arial" w:hAnsi="Arial"/>
                <w:sz w:val="21"/>
                <w:szCs w:val="21"/>
                <w:color w:val="5668B0"/>
                <w:vertAlign w:val="superscript"/>
              </w:rPr>
              <w:t>14</w:t>
            </w:r>
          </w:p>
        </w:tc>
        <w:tc>
          <w:tcPr>
            <w:tcW w:w="620" w:type="dxa"/>
            <w:vAlign w:val="bottom"/>
            <w:tcBorders>
              <w:bottom w:val="single" w:sz="8" w:color="5668B0"/>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tcPr>
          <w:p>
            <w:pPr>
              <w:ind w:left="20"/>
              <w:spacing w:after="0" w:line="182" w:lineRule="exact"/>
              <w:rPr>
                <w:sz w:val="20"/>
                <w:szCs w:val="20"/>
                <w:color w:val="auto"/>
              </w:rPr>
            </w:pPr>
            <w:r>
              <w:rPr>
                <w:rFonts w:ascii="Arial" w:cs="Arial" w:eastAsia="Arial" w:hAnsi="Arial"/>
                <w:sz w:val="16"/>
                <w:szCs w:val="16"/>
                <w:color w:val="auto"/>
              </w:rPr>
              <w:t>Michael S. Brown, M.D.</w:t>
            </w:r>
          </w:p>
        </w:tc>
        <w:tc>
          <w:tcPr>
            <w:tcW w:w="1080" w:type="dxa"/>
            <w:vAlign w:val="bottom"/>
            <w:tcBorders>
              <w:bottom w:val="single" w:sz="8" w:color="5668B0"/>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tcPr>
          <w:p>
            <w:pPr>
              <w:jc w:val="right"/>
              <w:ind w:right="90"/>
              <w:spacing w:after="0" w:line="183" w:lineRule="exact"/>
              <w:rPr>
                <w:sz w:val="20"/>
                <w:szCs w:val="20"/>
                <w:color w:val="auto"/>
              </w:rPr>
            </w:pPr>
            <w:r>
              <w:rPr>
                <w:rFonts w:ascii="Arial" w:cs="Arial" w:eastAsia="Arial" w:hAnsi="Arial"/>
                <w:sz w:val="13"/>
                <w:szCs w:val="13"/>
                <w:color w:val="auto"/>
              </w:rPr>
              <w:t>47,462</w:t>
            </w:r>
            <w:r>
              <w:rPr>
                <w:rFonts w:ascii="Arial" w:cs="Arial" w:eastAsia="Arial" w:hAnsi="Arial"/>
                <w:sz w:val="21"/>
                <w:szCs w:val="21"/>
                <w:color w:val="5668B0"/>
                <w:vertAlign w:val="superscript"/>
              </w:rPr>
              <w:t>15</w:t>
            </w:r>
          </w:p>
        </w:tc>
        <w:tc>
          <w:tcPr>
            <w:tcW w:w="620" w:type="dxa"/>
            <w:vAlign w:val="bottom"/>
            <w:tcBorders>
              <w:bottom w:val="single" w:sz="8" w:color="5668B0"/>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Joseph L. Goldstein, M.D.</w:t>
            </w:r>
          </w:p>
        </w:tc>
        <w:tc>
          <w:tcPr>
            <w:tcW w:w="1080" w:type="dxa"/>
            <w:vAlign w:val="bottom"/>
            <w:tcBorders>
              <w:bottom w:val="single" w:sz="8" w:color="5668B0"/>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40,113</w:t>
            </w:r>
            <w:r>
              <w:rPr>
                <w:rFonts w:ascii="Arial" w:cs="Arial" w:eastAsia="Arial" w:hAnsi="Arial"/>
                <w:sz w:val="21"/>
                <w:szCs w:val="21"/>
                <w:color w:val="5668B0"/>
                <w:vertAlign w:val="superscript"/>
              </w:rPr>
              <w:t>16</w:t>
            </w:r>
          </w:p>
        </w:tc>
        <w:tc>
          <w:tcPr>
            <w:tcW w:w="620" w:type="dxa"/>
            <w:vAlign w:val="bottom"/>
            <w:tcBorders>
              <w:bottom w:val="single" w:sz="8" w:color="5668B0"/>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tcPr>
          <w:p>
            <w:pPr>
              <w:ind w:left="20"/>
              <w:spacing w:after="0" w:line="182" w:lineRule="exact"/>
              <w:rPr>
                <w:sz w:val="20"/>
                <w:szCs w:val="20"/>
                <w:color w:val="auto"/>
              </w:rPr>
            </w:pPr>
            <w:r>
              <w:rPr>
                <w:rFonts w:ascii="Arial" w:cs="Arial" w:eastAsia="Arial" w:hAnsi="Arial"/>
                <w:sz w:val="16"/>
                <w:szCs w:val="16"/>
                <w:color w:val="auto"/>
              </w:rPr>
              <w:t>Christine A. Poon</w:t>
            </w:r>
          </w:p>
        </w:tc>
        <w:tc>
          <w:tcPr>
            <w:tcW w:w="1080" w:type="dxa"/>
            <w:vAlign w:val="bottom"/>
            <w:tcBorders>
              <w:bottom w:val="single" w:sz="8" w:color="5668B0"/>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tcPr>
          <w:p>
            <w:pPr>
              <w:jc w:val="right"/>
              <w:ind w:right="90"/>
              <w:spacing w:after="0" w:line="183" w:lineRule="exact"/>
              <w:rPr>
                <w:sz w:val="20"/>
                <w:szCs w:val="20"/>
                <w:color w:val="auto"/>
              </w:rPr>
            </w:pPr>
            <w:r>
              <w:rPr>
                <w:rFonts w:ascii="Arial" w:cs="Arial" w:eastAsia="Arial" w:hAnsi="Arial"/>
                <w:sz w:val="13"/>
                <w:szCs w:val="13"/>
                <w:color w:val="auto"/>
              </w:rPr>
              <w:t>82,433</w:t>
            </w:r>
            <w:r>
              <w:rPr>
                <w:rFonts w:ascii="Arial" w:cs="Arial" w:eastAsia="Arial" w:hAnsi="Arial"/>
                <w:sz w:val="21"/>
                <w:szCs w:val="21"/>
                <w:color w:val="5668B0"/>
                <w:vertAlign w:val="superscript"/>
              </w:rPr>
              <w:t>17</w:t>
            </w:r>
          </w:p>
        </w:tc>
        <w:tc>
          <w:tcPr>
            <w:tcW w:w="620" w:type="dxa"/>
            <w:vAlign w:val="bottom"/>
            <w:tcBorders>
              <w:bottom w:val="single" w:sz="8" w:color="5668B0"/>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Arthur F. Ryan</w:t>
            </w:r>
          </w:p>
        </w:tc>
        <w:tc>
          <w:tcPr>
            <w:tcW w:w="1080" w:type="dxa"/>
            <w:vAlign w:val="bottom"/>
            <w:tcBorders>
              <w:bottom w:val="single" w:sz="8" w:color="5668B0"/>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53,363</w:t>
            </w:r>
            <w:r>
              <w:rPr>
                <w:rFonts w:ascii="Arial" w:cs="Arial" w:eastAsia="Arial" w:hAnsi="Arial"/>
                <w:sz w:val="21"/>
                <w:szCs w:val="21"/>
                <w:color w:val="5668B0"/>
                <w:vertAlign w:val="superscript"/>
              </w:rPr>
              <w:t>18</w:t>
            </w:r>
          </w:p>
        </w:tc>
        <w:tc>
          <w:tcPr>
            <w:tcW w:w="620" w:type="dxa"/>
            <w:vAlign w:val="bottom"/>
            <w:tcBorders>
              <w:bottom w:val="single" w:sz="8" w:color="5668B0"/>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tcPr>
          <w:p>
            <w:pPr>
              <w:ind w:left="20"/>
              <w:spacing w:after="0" w:line="182" w:lineRule="exact"/>
              <w:rPr>
                <w:sz w:val="20"/>
                <w:szCs w:val="20"/>
                <w:color w:val="auto"/>
              </w:rPr>
            </w:pPr>
            <w:r>
              <w:rPr>
                <w:rFonts w:ascii="Arial" w:cs="Arial" w:eastAsia="Arial" w:hAnsi="Arial"/>
                <w:sz w:val="16"/>
                <w:szCs w:val="16"/>
                <w:color w:val="auto"/>
              </w:rPr>
              <w:t>George L. Sing</w:t>
            </w:r>
          </w:p>
        </w:tc>
        <w:tc>
          <w:tcPr>
            <w:tcW w:w="1080" w:type="dxa"/>
            <w:vAlign w:val="bottom"/>
            <w:tcBorders>
              <w:bottom w:val="single" w:sz="8" w:color="5668B0"/>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tcPr>
          <w:p>
            <w:pPr>
              <w:jc w:val="right"/>
              <w:ind w:right="90"/>
              <w:spacing w:after="0" w:line="183" w:lineRule="exact"/>
              <w:rPr>
                <w:sz w:val="20"/>
                <w:szCs w:val="20"/>
                <w:color w:val="auto"/>
              </w:rPr>
            </w:pPr>
            <w:r>
              <w:rPr>
                <w:rFonts w:ascii="Arial" w:cs="Arial" w:eastAsia="Arial" w:hAnsi="Arial"/>
                <w:sz w:val="13"/>
                <w:szCs w:val="13"/>
                <w:color w:val="auto"/>
              </w:rPr>
              <w:t>224,385</w:t>
            </w:r>
            <w:r>
              <w:rPr>
                <w:rFonts w:ascii="Arial" w:cs="Arial" w:eastAsia="Arial" w:hAnsi="Arial"/>
                <w:sz w:val="21"/>
                <w:szCs w:val="21"/>
                <w:color w:val="5668B0"/>
                <w:vertAlign w:val="superscript"/>
              </w:rPr>
              <w:t>19</w:t>
            </w:r>
          </w:p>
        </w:tc>
        <w:tc>
          <w:tcPr>
            <w:tcW w:w="620" w:type="dxa"/>
            <w:vAlign w:val="bottom"/>
            <w:tcBorders>
              <w:bottom w:val="single" w:sz="8" w:color="5668B0"/>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tcPr>
          <w:p>
            <w:pPr>
              <w:ind w:left="20"/>
              <w:spacing w:after="0" w:line="182" w:lineRule="exact"/>
              <w:rPr>
                <w:sz w:val="20"/>
                <w:szCs w:val="20"/>
                <w:color w:val="auto"/>
              </w:rPr>
            </w:pPr>
            <w:r>
              <w:rPr>
                <w:rFonts w:ascii="Arial" w:cs="Arial" w:eastAsia="Arial" w:hAnsi="Arial"/>
                <w:sz w:val="16"/>
                <w:szCs w:val="16"/>
                <w:color w:val="auto"/>
              </w:rPr>
              <w:t>Marc Tessier-Lavigne, Ph.D.</w:t>
            </w:r>
          </w:p>
        </w:tc>
        <w:tc>
          <w:tcPr>
            <w:tcW w:w="1080" w:type="dxa"/>
            <w:vAlign w:val="bottom"/>
            <w:tcBorders>
              <w:bottom w:val="single" w:sz="8" w:color="5668B0"/>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tcPr>
          <w:p>
            <w:pPr>
              <w:jc w:val="right"/>
              <w:ind w:right="90"/>
              <w:spacing w:after="0" w:line="183" w:lineRule="exact"/>
              <w:rPr>
                <w:sz w:val="20"/>
                <w:szCs w:val="20"/>
                <w:color w:val="auto"/>
              </w:rPr>
            </w:pPr>
            <w:r>
              <w:rPr>
                <w:rFonts w:ascii="Arial" w:cs="Arial" w:eastAsia="Arial" w:hAnsi="Arial"/>
                <w:sz w:val="13"/>
                <w:szCs w:val="13"/>
                <w:color w:val="auto"/>
              </w:rPr>
              <w:t>42,579</w:t>
            </w:r>
            <w:r>
              <w:rPr>
                <w:rFonts w:ascii="Arial" w:cs="Arial" w:eastAsia="Arial" w:hAnsi="Arial"/>
                <w:sz w:val="21"/>
                <w:szCs w:val="21"/>
                <w:color w:val="5668B0"/>
                <w:vertAlign w:val="superscript"/>
              </w:rPr>
              <w:t>20</w:t>
            </w:r>
          </w:p>
        </w:tc>
        <w:tc>
          <w:tcPr>
            <w:tcW w:w="620" w:type="dxa"/>
            <w:vAlign w:val="bottom"/>
            <w:tcBorders>
              <w:bottom w:val="single" w:sz="8" w:color="5668B0"/>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Robert E. Landry</w:t>
            </w:r>
          </w:p>
        </w:tc>
        <w:tc>
          <w:tcPr>
            <w:tcW w:w="1080" w:type="dxa"/>
            <w:vAlign w:val="bottom"/>
            <w:tcBorders>
              <w:bottom w:val="single" w:sz="8" w:color="5668B0"/>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41,656</w:t>
            </w:r>
            <w:r>
              <w:rPr>
                <w:rFonts w:ascii="Arial" w:cs="Arial" w:eastAsia="Arial" w:hAnsi="Arial"/>
                <w:sz w:val="21"/>
                <w:szCs w:val="21"/>
                <w:color w:val="5668B0"/>
                <w:vertAlign w:val="superscript"/>
              </w:rPr>
              <w:t>21</w:t>
            </w:r>
          </w:p>
        </w:tc>
        <w:tc>
          <w:tcPr>
            <w:tcW w:w="620" w:type="dxa"/>
            <w:vAlign w:val="bottom"/>
            <w:tcBorders>
              <w:bottom w:val="single" w:sz="8" w:color="5668B0"/>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tcPr>
          <w:p>
            <w:pPr>
              <w:ind w:left="20"/>
              <w:spacing w:after="0" w:line="182" w:lineRule="exact"/>
              <w:rPr>
                <w:sz w:val="20"/>
                <w:szCs w:val="20"/>
                <w:color w:val="auto"/>
              </w:rPr>
            </w:pPr>
            <w:r>
              <w:rPr>
                <w:rFonts w:ascii="Arial" w:cs="Arial" w:eastAsia="Arial" w:hAnsi="Arial"/>
                <w:sz w:val="16"/>
                <w:szCs w:val="16"/>
                <w:color w:val="auto"/>
              </w:rPr>
              <w:t>Neil Stahl, Ph.D.</w:t>
            </w:r>
          </w:p>
        </w:tc>
        <w:tc>
          <w:tcPr>
            <w:tcW w:w="1080" w:type="dxa"/>
            <w:vAlign w:val="bottom"/>
            <w:tcBorders>
              <w:bottom w:val="single" w:sz="8" w:color="5668B0"/>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tcPr>
          <w:p>
            <w:pPr>
              <w:jc w:val="right"/>
              <w:ind w:right="90"/>
              <w:spacing w:after="0" w:line="183" w:lineRule="exact"/>
              <w:rPr>
                <w:sz w:val="20"/>
                <w:szCs w:val="20"/>
                <w:color w:val="auto"/>
              </w:rPr>
            </w:pPr>
            <w:r>
              <w:rPr>
                <w:rFonts w:ascii="Arial" w:cs="Arial" w:eastAsia="Arial" w:hAnsi="Arial"/>
                <w:sz w:val="13"/>
                <w:szCs w:val="13"/>
                <w:color w:val="auto"/>
              </w:rPr>
              <w:t>405,164</w:t>
            </w:r>
            <w:r>
              <w:rPr>
                <w:rFonts w:ascii="Arial" w:cs="Arial" w:eastAsia="Arial" w:hAnsi="Arial"/>
                <w:sz w:val="21"/>
                <w:szCs w:val="21"/>
                <w:color w:val="5668B0"/>
                <w:vertAlign w:val="superscript"/>
              </w:rPr>
              <w:t>22</w:t>
            </w:r>
          </w:p>
        </w:tc>
        <w:tc>
          <w:tcPr>
            <w:tcW w:w="620" w:type="dxa"/>
            <w:vAlign w:val="bottom"/>
            <w:tcBorders>
              <w:bottom w:val="single" w:sz="8" w:color="5668B0"/>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Robert J. Terifay</w:t>
            </w:r>
          </w:p>
        </w:tc>
        <w:tc>
          <w:tcPr>
            <w:tcW w:w="1080" w:type="dxa"/>
            <w:vAlign w:val="bottom"/>
            <w:tcBorders>
              <w:bottom w:val="single" w:sz="8" w:color="5668B0"/>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5668B0"/>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668B0"/>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197,466</w:t>
            </w:r>
            <w:r>
              <w:rPr>
                <w:rFonts w:ascii="Arial" w:cs="Arial" w:eastAsia="Arial" w:hAnsi="Arial"/>
                <w:sz w:val="21"/>
                <w:szCs w:val="21"/>
                <w:color w:val="5668B0"/>
                <w:vertAlign w:val="superscript"/>
              </w:rPr>
              <w:t>23</w:t>
            </w:r>
          </w:p>
        </w:tc>
        <w:tc>
          <w:tcPr>
            <w:tcW w:w="620" w:type="dxa"/>
            <w:vAlign w:val="bottom"/>
            <w:tcBorders>
              <w:bottom w:val="single" w:sz="8" w:color="5668B0"/>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5668B0"/>
            </w:tcBorders>
            <w:gridSpan w:val="2"/>
          </w:tcPr>
          <w:p>
            <w:pPr>
              <w:ind w:left="20"/>
              <w:spacing w:after="0" w:line="182" w:lineRule="exact"/>
              <w:rPr>
                <w:sz w:val="20"/>
                <w:szCs w:val="20"/>
                <w:color w:val="auto"/>
              </w:rPr>
            </w:pPr>
            <w:r>
              <w:rPr>
                <w:rFonts w:ascii="Arial" w:cs="Arial" w:eastAsia="Arial" w:hAnsi="Arial"/>
                <w:sz w:val="16"/>
                <w:szCs w:val="16"/>
                <w:color w:val="auto"/>
              </w:rPr>
              <w:t>All Directors and Executive Officers as a Group (18 persons)</w:t>
            </w:r>
          </w:p>
        </w:tc>
        <w:tc>
          <w:tcPr>
            <w:tcW w:w="1080" w:type="dxa"/>
            <w:vAlign w:val="bottom"/>
            <w:tcBorders>
              <w:bottom w:val="single" w:sz="8" w:color="5668B0"/>
            </w:tcBorders>
          </w:tcPr>
          <w:p>
            <w:pPr>
              <w:jc w:val="right"/>
              <w:ind w:right="202"/>
              <w:spacing w:after="0" w:line="182" w:lineRule="exact"/>
              <w:rPr>
                <w:sz w:val="20"/>
                <w:szCs w:val="20"/>
                <w:color w:val="auto"/>
              </w:rPr>
            </w:pPr>
            <w:r>
              <w:rPr>
                <w:rFonts w:ascii="Arial" w:cs="Arial" w:eastAsia="Arial" w:hAnsi="Arial"/>
                <w:sz w:val="16"/>
                <w:szCs w:val="16"/>
                <w:color w:val="auto"/>
              </w:rPr>
              <w:t>1,831,699</w:t>
            </w:r>
          </w:p>
        </w:tc>
        <w:tc>
          <w:tcPr>
            <w:tcW w:w="720" w:type="dxa"/>
            <w:vAlign w:val="bottom"/>
            <w:tcBorders>
              <w:bottom w:val="single" w:sz="8" w:color="5668B0"/>
            </w:tcBorders>
          </w:tcPr>
          <w:p>
            <w:pPr>
              <w:jc w:val="right"/>
              <w:ind w:right="19"/>
              <w:spacing w:after="0" w:line="182" w:lineRule="exact"/>
              <w:rPr>
                <w:sz w:val="20"/>
                <w:szCs w:val="20"/>
                <w:color w:val="auto"/>
              </w:rPr>
            </w:pPr>
            <w:r>
              <w:rPr>
                <w:rFonts w:ascii="Arial" w:cs="Arial" w:eastAsia="Arial" w:hAnsi="Arial"/>
                <w:sz w:val="16"/>
                <w:szCs w:val="16"/>
                <w:color w:val="auto"/>
              </w:rPr>
              <w:t>95.7%</w:t>
            </w:r>
          </w:p>
        </w:tc>
        <w:tc>
          <w:tcPr>
            <w:tcW w:w="1240" w:type="dxa"/>
            <w:vAlign w:val="bottom"/>
            <w:tcBorders>
              <w:bottom w:val="single" w:sz="8" w:color="5668B0"/>
            </w:tcBorders>
          </w:tcPr>
          <w:p>
            <w:pPr>
              <w:jc w:val="right"/>
              <w:ind w:right="90"/>
              <w:spacing w:after="0" w:line="183" w:lineRule="exact"/>
              <w:rPr>
                <w:sz w:val="20"/>
                <w:szCs w:val="20"/>
                <w:color w:val="auto"/>
              </w:rPr>
            </w:pPr>
            <w:r>
              <w:rPr>
                <w:rFonts w:ascii="Arial" w:cs="Arial" w:eastAsia="Arial" w:hAnsi="Arial"/>
                <w:sz w:val="13"/>
                <w:szCs w:val="13"/>
                <w:color w:val="auto"/>
              </w:rPr>
              <w:t>11,720,333</w:t>
            </w:r>
            <w:r>
              <w:rPr>
                <w:rFonts w:ascii="Arial" w:cs="Arial" w:eastAsia="Arial" w:hAnsi="Arial"/>
                <w:sz w:val="21"/>
                <w:szCs w:val="21"/>
                <w:color w:val="5668B0"/>
                <w:vertAlign w:val="superscript"/>
              </w:rPr>
              <w:t>24</w:t>
            </w:r>
          </w:p>
        </w:tc>
        <w:tc>
          <w:tcPr>
            <w:tcW w:w="620" w:type="dxa"/>
            <w:vAlign w:val="bottom"/>
            <w:tcBorders>
              <w:bottom w:val="single" w:sz="8" w:color="5668B0"/>
            </w:tcBorders>
          </w:tcPr>
          <w:p>
            <w:pPr>
              <w:jc w:val="right"/>
              <w:spacing w:after="0" w:line="182"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62"/>
        </w:trPr>
        <w:tc>
          <w:tcPr>
            <w:tcW w:w="100" w:type="dxa"/>
            <w:vAlign w:val="bottom"/>
          </w:tcPr>
          <w:p>
            <w:pPr>
              <w:ind w:left="20"/>
              <w:spacing w:after="0"/>
              <w:rPr>
                <w:sz w:val="20"/>
                <w:szCs w:val="20"/>
                <w:color w:val="auto"/>
              </w:rPr>
            </w:pPr>
            <w:r>
              <w:rPr>
                <w:rFonts w:ascii="Arial" w:cs="Arial" w:eastAsia="Arial" w:hAnsi="Arial"/>
                <w:sz w:val="13"/>
                <w:szCs w:val="13"/>
                <w:color w:val="5668B0"/>
              </w:rPr>
              <w:t>*</w:t>
            </w:r>
          </w:p>
        </w:tc>
        <w:tc>
          <w:tcPr>
            <w:tcW w:w="4660" w:type="dxa"/>
            <w:vAlign w:val="bottom"/>
          </w:tcPr>
          <w:p>
            <w:pPr>
              <w:ind w:left="420"/>
              <w:spacing w:after="0"/>
              <w:rPr>
                <w:sz w:val="20"/>
                <w:szCs w:val="20"/>
                <w:color w:val="auto"/>
              </w:rPr>
            </w:pPr>
            <w:r>
              <w:rPr>
                <w:rFonts w:ascii="Arial" w:cs="Arial" w:eastAsia="Arial" w:hAnsi="Arial"/>
                <w:sz w:val="13"/>
                <w:szCs w:val="13"/>
                <w:color w:val="auto"/>
              </w:rPr>
              <w:t>Represents less than 1%</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-4620260</wp:posOffset>
            </wp:positionV>
            <wp:extent cx="2322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72" w:lineRule="exact"/>
        <w:rPr>
          <w:sz w:val="20"/>
          <w:szCs w:val="20"/>
          <w:color w:val="auto"/>
        </w:rPr>
      </w:pPr>
    </w:p>
    <w:p>
      <w:pPr>
        <w:ind w:left="1880" w:hanging="508"/>
        <w:spacing w:after="0" w:line="198" w:lineRule="auto"/>
        <w:tabs>
          <w:tab w:leader="none" w:pos="1880" w:val="left"/>
        </w:tabs>
        <w:numPr>
          <w:ilvl w:val="0"/>
          <w:numId w:val="45"/>
        </w:numPr>
        <w:rPr>
          <w:rFonts w:ascii="Arial" w:cs="Arial" w:eastAsia="Arial" w:hAnsi="Arial"/>
          <w:sz w:val="20"/>
          <w:szCs w:val="20"/>
          <w:b w:val="1"/>
          <w:bCs w:val="1"/>
          <w:color w:val="5668B0"/>
          <w:vertAlign w:val="superscript"/>
        </w:rPr>
      </w:pPr>
      <w:r>
        <w:rPr>
          <w:rFonts w:ascii="Arial" w:cs="Arial" w:eastAsia="Arial" w:hAnsi="Arial"/>
          <w:sz w:val="13"/>
          <w:szCs w:val="13"/>
          <w:color w:val="auto"/>
        </w:rPr>
        <w:t>The inclusion herein of any Class A stock or common stock, as the case may be, deemed beneficially owned does not constitute an admission of beneficial ownership of those shares.</w:t>
      </w:r>
    </w:p>
    <w:p>
      <w:pPr>
        <w:spacing w:after="0" w:line="193" w:lineRule="exact"/>
        <w:rPr>
          <w:sz w:val="20"/>
          <w:szCs w:val="20"/>
          <w:color w:val="auto"/>
        </w:rPr>
      </w:pPr>
    </w:p>
    <w:p>
      <w:pPr>
        <w:jc w:val="both"/>
        <w:ind w:left="1880" w:hanging="508"/>
        <w:spacing w:after="0"/>
        <w:tabs>
          <w:tab w:leader="none" w:pos="1880" w:val="left"/>
        </w:tabs>
        <w:numPr>
          <w:ilvl w:val="0"/>
          <w:numId w:val="46"/>
        </w:numPr>
        <w:rPr>
          <w:rFonts w:ascii="Arial" w:cs="Arial" w:eastAsia="Arial" w:hAnsi="Arial"/>
          <w:sz w:val="20"/>
          <w:szCs w:val="20"/>
          <w:b w:val="1"/>
          <w:bCs w:val="1"/>
          <w:color w:val="5668B0"/>
          <w:vertAlign w:val="superscript"/>
        </w:rPr>
      </w:pPr>
      <w:r>
        <w:rPr>
          <w:rFonts w:ascii="Arial" w:cs="Arial" w:eastAsia="Arial" w:hAnsi="Arial"/>
          <w:sz w:val="13"/>
          <w:szCs w:val="13"/>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278" w:lineRule="exact"/>
        <w:rPr>
          <w:sz w:val="20"/>
          <w:szCs w:val="20"/>
          <w:color w:val="auto"/>
        </w:rPr>
      </w:pPr>
    </w:p>
    <w:p>
      <w:pPr>
        <w:jc w:val="both"/>
        <w:ind w:left="1880" w:hanging="508"/>
        <w:spacing w:after="0" w:line="233" w:lineRule="auto"/>
        <w:tabs>
          <w:tab w:leader="none" w:pos="1880" w:val="left"/>
        </w:tabs>
        <w:numPr>
          <w:ilvl w:val="0"/>
          <w:numId w:val="47"/>
        </w:numPr>
        <w:rPr>
          <w:rFonts w:ascii="Arial" w:cs="Arial" w:eastAsia="Arial" w:hAnsi="Arial"/>
          <w:sz w:val="20"/>
          <w:szCs w:val="20"/>
          <w:b w:val="1"/>
          <w:bCs w:val="1"/>
          <w:color w:val="5668B0"/>
          <w:vertAlign w:val="superscript"/>
        </w:rPr>
      </w:pPr>
      <w:r>
        <w:rPr>
          <w:rFonts w:ascii="Arial" w:cs="Arial" w:eastAsia="Arial" w:hAnsi="Arial"/>
          <w:sz w:val="13"/>
          <w:szCs w:val="13"/>
          <w:color w:val="auto"/>
        </w:rPr>
        <w:t>Based solely on a Form 4 filed by Sanofi with the SEC on February 18, 2016. According to this Form 4, 20,554,113 of the shares are held directly by sanofi-aventis Amerique du Nord and 2,799,552 of the shares are held directly by Aventis Pharmaceuticals Inc. sanofi-aventis Amerique du Nord is a direct, wholly-owned subsidiary of Sanofi, and Aventis Pharmaceuticals Inc. is an indirect, wholly-owned subsidiary of sanofi-aventis Amerique du Nord. Pursuant to the Amended and Restated Investor Agreement, dated as of January 11, 2014, by and among Sanofi, sanofi-aventis US LLC, Aventis Pharmaceuticals Inc., and sanofi-aventis Amerique du Nord (collectively, the "Sanofi Parties"), and the Company, the Sanofi Parties have agreed to vote all shares of our voting securities they are entitled to vote from time to time as recommended by our board of directors, except that they may elect to vote proportionally with the votes cast by all of our other shareholders with respect to certain change-of-control transactions and to vote in their sole discretion with respect to liquidation or dissolution of Regeneron, stock issuances equal to or exceeding 20% of the then outstanding shares or voting rights of common stock and Class A stock (taken together), and new equity compensation plans or amendments if not materially consistent with our historical equity compensation practices. See "Certain Relationships and Related Transactions – Transactions with Related Persons – Amended and Restated Investor Agreement with Sanofi" for further information regarding the Amended and Restated Investor Agreement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642620" cy="1930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123190</wp:posOffset>
            </wp:positionV>
            <wp:extent cx="8255" cy="1930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83" w:lineRule="exact"/>
        <w:rPr>
          <w:sz w:val="20"/>
          <w:szCs w:val="20"/>
          <w:color w:val="auto"/>
        </w:rPr>
      </w:pPr>
    </w:p>
    <w:p>
      <w:pPr>
        <w:ind w:left="1160" w:hanging="744"/>
        <w:spacing w:after="0"/>
        <w:tabs>
          <w:tab w:leader="none" w:pos="1160" w:val="left"/>
        </w:tabs>
        <w:numPr>
          <w:ilvl w:val="0"/>
          <w:numId w:val="48"/>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65" w:lineRule="exact"/>
        <w:rPr>
          <w:sz w:val="20"/>
          <w:szCs w:val="20"/>
          <w:color w:val="auto"/>
        </w:rPr>
      </w:pPr>
    </w:p>
    <w:p>
      <w:pPr>
        <w:ind w:left="1380"/>
        <w:spacing w:after="0"/>
        <w:rPr>
          <w:sz w:val="20"/>
          <w:szCs w:val="20"/>
          <w:color w:val="auto"/>
        </w:rPr>
      </w:pPr>
      <w:r>
        <w:rPr>
          <w:rFonts w:ascii="Arial" w:cs="Arial" w:eastAsia="Arial" w:hAnsi="Arial"/>
          <w:sz w:val="10"/>
          <w:szCs w:val="10"/>
          <w:b w:val="1"/>
          <w:bCs w:val="1"/>
          <w:color w:val="5668B0"/>
        </w:rPr>
        <w:t>4</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80"/>
        <w:spacing w:after="0"/>
        <w:rPr>
          <w:sz w:val="20"/>
          <w:szCs w:val="20"/>
          <w:color w:val="auto"/>
        </w:rPr>
      </w:pPr>
      <w:r>
        <w:rPr>
          <w:rFonts w:ascii="Arial" w:cs="Arial" w:eastAsia="Arial" w:hAnsi="Arial"/>
          <w:sz w:val="10"/>
          <w:szCs w:val="10"/>
          <w:b w:val="1"/>
          <w:bCs w:val="1"/>
          <w:color w:val="5668B0"/>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80"/>
        <w:spacing w:after="0"/>
        <w:rPr>
          <w:sz w:val="20"/>
          <w:szCs w:val="20"/>
          <w:color w:val="auto"/>
        </w:rPr>
      </w:pPr>
      <w:r>
        <w:rPr>
          <w:rFonts w:ascii="Arial" w:cs="Arial" w:eastAsia="Arial" w:hAnsi="Arial"/>
          <w:sz w:val="10"/>
          <w:szCs w:val="10"/>
          <w:b w:val="1"/>
          <w:bCs w:val="1"/>
          <w:color w:val="5668B0"/>
        </w:rPr>
        <w:t>6</w:t>
      </w:r>
    </w:p>
    <w:p>
      <w:pPr>
        <w:spacing w:after="0" w:line="200" w:lineRule="exact"/>
        <w:rPr>
          <w:sz w:val="20"/>
          <w:szCs w:val="20"/>
          <w:color w:val="auto"/>
        </w:rPr>
      </w:pPr>
    </w:p>
    <w:p>
      <w:pPr>
        <w:spacing w:after="0" w:line="343" w:lineRule="exact"/>
        <w:rPr>
          <w:sz w:val="20"/>
          <w:szCs w:val="20"/>
          <w:color w:val="auto"/>
        </w:rPr>
      </w:pPr>
    </w:p>
    <w:p>
      <w:pPr>
        <w:ind w:left="1380"/>
        <w:spacing w:after="0"/>
        <w:rPr>
          <w:sz w:val="20"/>
          <w:szCs w:val="20"/>
          <w:color w:val="auto"/>
        </w:rPr>
      </w:pPr>
      <w:r>
        <w:rPr>
          <w:rFonts w:ascii="Arial" w:cs="Arial" w:eastAsia="Arial" w:hAnsi="Arial"/>
          <w:sz w:val="10"/>
          <w:szCs w:val="10"/>
          <w:b w:val="1"/>
          <w:bCs w:val="1"/>
          <w:color w:val="5668B0"/>
        </w:rPr>
        <w:t>7</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10"/>
          <w:szCs w:val="10"/>
          <w:b w:val="1"/>
          <w:bCs w:val="1"/>
          <w:color w:val="5668B0"/>
        </w:rPr>
        <w:t>8</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10"/>
          <w:szCs w:val="10"/>
          <w:b w:val="1"/>
          <w:bCs w:val="1"/>
          <w:color w:val="5668B0"/>
        </w:rPr>
        <w:t>9</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11</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13</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14</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16</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17</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5668B0"/>
        </w:rPr>
        <w:t>18</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Based solely on an amendment to a Schedule 13G filed by Capital World Investors on February 16, 2016. According to this amendment, Capital World Investors, a division of Capital Research and Management Company, has sole voting and dispositive power as to all of the shares reported as beneficially owned. Capital World Investors is deemed to be the beneficial owner of such shares as a result of Capital Research and Management Company acting as investment adviser to various registered investment companies.</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Based solely on an amendment to a Schedule 13G filed by FMR LLC on February 12, 2016. According to this amendment, FMR LLC has sole voting power as to 639,403 of the shares reported as beneficially owned and sole dispositive power as to all of the shares reported as beneficially owned.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to form a controlling group with respect to FMR LLC. Neither FMR LLC nor Abigail P. Johnson has the sole power to vote or direct the voting of the shares owned directly by the various investment companies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34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Based solely on an amendment to a Schedule 13G filed by BlackRock, Inc. on February 10, 2016. According to this amendment, BlackRock, Inc. has sole voting power as to 4,830,005, shared voting power as to 5,449, sole dispositive power as to 5,377,024, and shared dispositive power as to 5,449 of the shares reported as beneficially owned.</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address for each director and executive officer is c/o Regeneron Pharmaceuticals, Inc., 777 Old Saw Mill River Road, Tarrytown, New York 10591-6707.</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Includes 15,775 shares of Class A stock held in trust for the benefit of Dr. Schleifer's son, of which Dr. Schleifer is a trustee.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(i) 2,218,771 shares of common stock purchasable upon the exercise of options granted pursuant to the Regeneron Pharmaceuticals, Inc. Second Amended and Restated 2000 Long-Term Incentive Plan or the Regeneron Pharmaceuticals, Inc. 2014 Long-Term Incentive Plan that are exercisable or become so within sixty days after April 14, 2016; and (ii) 5,702 shares of common stock held in an account under the Company's 401(k) Savings Plan.</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Includes (i) 1,995,705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 (ii) 2,290 shares of common stock held in an account under the Company's 401(k) Savings Plan; (iii) 152,964 shares of common stock held in a charitable lead annuity trust, of which Dr. Vagelos is the trustee; (iv) 92,947 shares of common stock held in a trust for his grandchildren, of which Dr. Vagelos's wife is the trustee; (v) 1,203 shares of common stock held in trusts for his grandchildren, of which Dr. Vagelos and/or his wife are trustees; and (vi) 56,159 shares of common stock and 241,187 shares of common stock held by the Marianthi Foundation and the Pindaros Foundation, respectively, both of which are charitable foundations of which Dr. Vagelos is a director and an officer. Dr. Vagelos disclaims beneficial ownership of the shares held by these charitable foundations.</w:t>
      </w: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Of these shares, 23,367 shares are held in trust for the benefit of Dr. Yancopoulos's children and certain other family members; Dr. Yancopoulos is a trustee of the trust. The remaining 19,383 shares are held in custody for the benefit of Dr. Yancopoulos's children.</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Includes (i) 1,848,756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 (ii) 500,000 shares of restricted stock which vest on December 17, 2017; (iii) 5,676 shares of common stock held in an account under the Company's 401(k) Savings Plan; and (iv) 567,976 shares of common stock held in trust for the benefit of Dr. Yancopoulos's children and certain other family members, of which Dr. Yancopoulos is a trustee.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All shares of Class A stock are held by a limited partnership, of which Mr. Baker is a general partner.</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77,113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(i) 24,113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 and (ii) 6,000 shares of common stock held by a family charitable foundation of which Dr. Brown is a director and an officer and his wife is a director. Dr. Brown disclaims beneficial ownership of the shares held by this charitable foundation.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27,113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81,643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12,863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114935</wp:posOffset>
            </wp:positionV>
            <wp:extent cx="8255" cy="1930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161" w:lineRule="exact"/>
        <w:rPr>
          <w:sz w:val="20"/>
          <w:szCs w:val="20"/>
          <w:color w:val="auto"/>
        </w:rPr>
      </w:pPr>
    </w:p>
    <w:tbl>
      <w:tblPr>
        <w:tblLayout w:type="fixed"/>
        <w:tblInd w:w="3480" w:type="dxa"/>
        <w:tblCellMar>
          <w:top w:w="0" w:type="dxa"/>
          <w:left w:w="0" w:type="dxa"/>
          <w:bottom w:w="0" w:type="dxa"/>
          <w:right w:w="0" w:type="dxa"/>
        </w:tblCellMar>
      </w:tblPr>
      <w:tr>
        <w:trPr>
          <w:trHeight w:val="304"/>
        </w:trPr>
        <w:tc>
          <w:tcPr>
            <w:tcW w:w="5060" w:type="dxa"/>
            <w:vAlign w:val="bottom"/>
          </w:tcPr>
          <w:p>
            <w:pPr>
              <w:spacing w:after="0"/>
              <w:rPr>
                <w:sz w:val="20"/>
                <w:szCs w:val="20"/>
                <w:color w:val="auto"/>
              </w:rPr>
            </w:pPr>
            <w:r>
              <w:rPr>
                <w:rFonts w:ascii="Arial" w:cs="Arial" w:eastAsia="Arial" w:hAnsi="Arial"/>
                <w:sz w:val="16"/>
                <w:szCs w:val="16"/>
                <w:color w:val="183394"/>
              </w:rPr>
              <w:t>Security Ownership of Certain Beneficial Owners and Management</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-1194435</wp:posOffset>
            </wp:positionH>
            <wp:positionV relativeFrom="paragraph">
              <wp:posOffset>62230</wp:posOffset>
            </wp:positionV>
            <wp:extent cx="725995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1480" w:space="400"/>
            <w:col w:w="9540"/>
          </w:cols>
          <w:pgMar w:left="240" w:top="142"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10" w:lineRule="exact"/>
        <w:rPr>
          <w:sz w:val="20"/>
          <w:szCs w:val="20"/>
          <w:color w:val="auto"/>
        </w:rPr>
      </w:pPr>
    </w:p>
    <w:p>
      <w:pPr>
        <w:jc w:val="both"/>
        <w:ind w:left="1880" w:hanging="508"/>
        <w:spacing w:after="0" w:line="218" w:lineRule="auto"/>
        <w:tabs>
          <w:tab w:leader="none" w:pos="1880" w:val="left"/>
        </w:tabs>
        <w:numPr>
          <w:ilvl w:val="0"/>
          <w:numId w:val="4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Includes (i) 94,113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 (ii) 3,000 shares of common stock held by Mr. Sing's spouse; (iii) 4,500 shares of common stock held by Mr. Sing's spouse as custodian for the benefit of their son; and (iv) 10,000 shares of common stock held in a trust for benefit of Mr. Sing's son.</w:t>
      </w:r>
    </w:p>
    <w:p>
      <w:pPr>
        <w:spacing w:after="0" w:line="193" w:lineRule="exact"/>
        <w:rPr>
          <w:rFonts w:ascii="Arial" w:cs="Arial" w:eastAsia="Arial" w:hAnsi="Arial"/>
          <w:sz w:val="20"/>
          <w:szCs w:val="20"/>
          <w:b w:val="1"/>
          <w:bCs w:val="1"/>
          <w:color w:val="5668B0"/>
          <w:vertAlign w:val="superscript"/>
        </w:rPr>
      </w:pPr>
    </w:p>
    <w:p>
      <w:pPr>
        <w:jc w:val="both"/>
        <w:ind w:left="1880" w:hanging="508"/>
        <w:spacing w:after="0" w:line="211" w:lineRule="auto"/>
        <w:tabs>
          <w:tab w:leader="none" w:pos="1880" w:val="left"/>
        </w:tabs>
        <w:numPr>
          <w:ilvl w:val="0"/>
          <w:numId w:val="4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Includes 41,392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w:t>
      </w:r>
    </w:p>
    <w:p>
      <w:pPr>
        <w:spacing w:after="0" w:line="192" w:lineRule="exact"/>
        <w:rPr>
          <w:rFonts w:ascii="Arial" w:cs="Arial" w:eastAsia="Arial" w:hAnsi="Arial"/>
          <w:sz w:val="20"/>
          <w:szCs w:val="20"/>
          <w:b w:val="1"/>
          <w:bCs w:val="1"/>
          <w:color w:val="5668B0"/>
          <w:vertAlign w:val="superscript"/>
        </w:rPr>
      </w:pPr>
    </w:p>
    <w:p>
      <w:pPr>
        <w:jc w:val="both"/>
        <w:ind w:left="1880" w:hanging="508"/>
        <w:spacing w:after="0" w:line="218" w:lineRule="auto"/>
        <w:tabs>
          <w:tab w:leader="none" w:pos="1880" w:val="left"/>
        </w:tabs>
        <w:numPr>
          <w:ilvl w:val="0"/>
          <w:numId w:val="4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Includes (i) 34,500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 (ii) 5,000 shares of restricted stock which vest on September 9, 2018; and (iii) 57 shares of common stock held in an account under the Company's 401(k) Savings Plan.</w:t>
      </w:r>
    </w:p>
    <w:p>
      <w:pPr>
        <w:spacing w:after="0" w:line="193" w:lineRule="exact"/>
        <w:rPr>
          <w:rFonts w:ascii="Arial" w:cs="Arial" w:eastAsia="Arial" w:hAnsi="Arial"/>
          <w:sz w:val="20"/>
          <w:szCs w:val="20"/>
          <w:b w:val="1"/>
          <w:bCs w:val="1"/>
          <w:color w:val="5668B0"/>
          <w:vertAlign w:val="superscript"/>
        </w:rPr>
      </w:pPr>
    </w:p>
    <w:p>
      <w:pPr>
        <w:jc w:val="both"/>
        <w:ind w:left="1880" w:hanging="508"/>
        <w:spacing w:after="0" w:line="218" w:lineRule="auto"/>
        <w:tabs>
          <w:tab w:leader="none" w:pos="1880" w:val="left"/>
        </w:tabs>
        <w:numPr>
          <w:ilvl w:val="0"/>
          <w:numId w:val="4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Includes (i) 352,717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 (ii) 20,732 shares of common stock held in separate grantor retained annuity trusts of which Dr. Stahl is the trustee; and (iii) 5,621 shares of common stock held in an account under the Company's 401(k) Savings Plan.</w:t>
      </w:r>
    </w:p>
    <w:p>
      <w:pPr>
        <w:spacing w:after="0" w:line="193" w:lineRule="exact"/>
        <w:rPr>
          <w:rFonts w:ascii="Arial" w:cs="Arial" w:eastAsia="Arial" w:hAnsi="Arial"/>
          <w:sz w:val="20"/>
          <w:szCs w:val="20"/>
          <w:b w:val="1"/>
          <w:bCs w:val="1"/>
          <w:color w:val="5668B0"/>
          <w:vertAlign w:val="superscript"/>
        </w:rPr>
      </w:pPr>
    </w:p>
    <w:p>
      <w:pPr>
        <w:jc w:val="both"/>
        <w:ind w:left="1880" w:hanging="508"/>
        <w:spacing w:after="0" w:line="211" w:lineRule="auto"/>
        <w:tabs>
          <w:tab w:leader="none" w:pos="1880" w:val="left"/>
        </w:tabs>
        <w:numPr>
          <w:ilvl w:val="0"/>
          <w:numId w:val="4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Includes (i) 172,500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 and (ii) 1,673 shares of common stock held in an account under the Company's 401(k) Savings Plan.</w:t>
      </w:r>
    </w:p>
    <w:p>
      <w:pPr>
        <w:spacing w:after="0" w:line="192" w:lineRule="exact"/>
        <w:rPr>
          <w:rFonts w:ascii="Arial" w:cs="Arial" w:eastAsia="Arial" w:hAnsi="Arial"/>
          <w:sz w:val="20"/>
          <w:szCs w:val="20"/>
          <w:b w:val="1"/>
          <w:bCs w:val="1"/>
          <w:color w:val="5668B0"/>
          <w:vertAlign w:val="superscript"/>
        </w:rPr>
      </w:pPr>
    </w:p>
    <w:p>
      <w:pPr>
        <w:jc w:val="both"/>
        <w:ind w:left="1880" w:hanging="508"/>
        <w:spacing w:after="0" w:line="218" w:lineRule="auto"/>
        <w:tabs>
          <w:tab w:leader="none" w:pos="1880" w:val="left"/>
        </w:tabs>
        <w:numPr>
          <w:ilvl w:val="0"/>
          <w:numId w:val="4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Includes (i) 7,483,044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14, 2016; (ii) 515,000 shares of unvested restricted stock; and (iii) 28,853 shares of common stock held in an account under the Company's 401(k)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642620" cy="1930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120015</wp:posOffset>
            </wp:positionV>
            <wp:extent cx="8255" cy="1930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78" w:lineRule="exact"/>
        <w:rPr>
          <w:sz w:val="20"/>
          <w:szCs w:val="20"/>
          <w:color w:val="auto"/>
        </w:rPr>
      </w:pPr>
    </w:p>
    <w:p>
      <w:pPr>
        <w:ind w:left="1160" w:hanging="744"/>
        <w:spacing w:after="0"/>
        <w:tabs>
          <w:tab w:leader="none" w:pos="1160" w:val="left"/>
        </w:tabs>
        <w:numPr>
          <w:ilvl w:val="0"/>
          <w:numId w:val="50"/>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Section 16(a) Beneficial Ownership Reporting Compliance</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solely upon a review of reports filed pursuant to Section 16(a) of the Exchange Act or written representations from reporting persons, the Company is not aware of any director, executive officer, or beneficial owner of more than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of our common stock who has not filed on a timely basis any report required by such Section 16(a) to be filed during or in respect of our fiscal year ended December 31, 2015.</w:t>
      </w:r>
    </w:p>
    <w:p>
      <w:pPr>
        <w:spacing w:after="0" w:line="389"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60" w:type="dxa"/>
            <w:vAlign w:val="bottom"/>
            <w:tcBorders>
              <w:right w:val="single" w:sz="8" w:color="183394"/>
            </w:tcBorders>
          </w:tcPr>
          <w:p>
            <w:pPr>
              <w:spacing w:after="0"/>
              <w:rPr>
                <w:sz w:val="21"/>
                <w:szCs w:val="21"/>
                <w:color w:val="auto"/>
              </w:rPr>
            </w:pPr>
          </w:p>
        </w:tc>
        <w:tc>
          <w:tcPr>
            <w:tcW w:w="5060" w:type="dxa"/>
            <w:vAlign w:val="bottom"/>
            <w:vMerge w:val="restart"/>
          </w:tcPr>
          <w:p>
            <w:pPr>
              <w:ind w:left="640"/>
              <w:spacing w:after="0"/>
              <w:rPr>
                <w:sz w:val="20"/>
                <w:szCs w:val="20"/>
                <w:color w:val="auto"/>
              </w:rPr>
            </w:pPr>
            <w:r>
              <w:rPr>
                <w:rFonts w:ascii="Arial" w:cs="Arial" w:eastAsia="Arial" w:hAnsi="Arial"/>
                <w:sz w:val="16"/>
                <w:szCs w:val="16"/>
                <w:color w:val="183394"/>
              </w:rPr>
              <w:t>Section 16(a) Beneficial Ownership Reporting Compliance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29</w:t>
            </w:r>
          </w:p>
        </w:tc>
        <w:tc>
          <w:tcPr>
            <w:tcW w:w="0" w:type="dxa"/>
            <w:vAlign w:val="bottom"/>
          </w:tcPr>
          <w:p>
            <w:pPr>
              <w:spacing w:after="0"/>
              <w:rPr>
                <w:sz w:val="1"/>
                <w:szCs w:val="1"/>
                <w:color w:val="auto"/>
              </w:rPr>
            </w:pPr>
          </w:p>
        </w:tc>
      </w:tr>
      <w:tr>
        <w:trPr>
          <w:trHeight w:val="66"/>
        </w:trPr>
        <w:tc>
          <w:tcPr>
            <w:tcW w:w="5360" w:type="dxa"/>
            <w:vAlign w:val="bottom"/>
            <w:tcBorders>
              <w:right w:val="single" w:sz="8" w:color="183394"/>
            </w:tcBorders>
          </w:tcPr>
          <w:p>
            <w:pPr>
              <w:spacing w:after="0"/>
              <w:rPr>
                <w:sz w:val="5"/>
                <w:szCs w:val="5"/>
                <w:color w:val="auto"/>
              </w:rPr>
            </w:pPr>
          </w:p>
        </w:tc>
        <w:tc>
          <w:tcPr>
            <w:tcW w:w="506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5360" w:type="dxa"/>
            <w:vAlign w:val="bottom"/>
            <w:tcBorders>
              <w:bottom w:val="single" w:sz="8" w:color="808080"/>
            </w:tcBorders>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Certain Relationships and Related Transactions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5668B0"/>
        </w:rPr>
        <w:t>Review, Approval, or Ratification of Transactions with Related Persons</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As amended in January 2015, the policy provides for a standing pre-approval of transactions with any passive institutional shareholder who holds more than 5% of our voting securities, transactions where all shareholders receive proportional benefits, and certain transactions with Sanofi.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are permitted to be made without the prior approval of the Audit Committee (except, if the immediate family member is himself or herself an executive officer of the Company, any proposed change in the terms of employment are reviewed and approved in the same manner as compensatory arrangements of other executive officers).</w:t>
      </w:r>
    </w:p>
    <w:p>
      <w:pPr>
        <w:spacing w:after="0" w:line="383"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board of directors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When reviewing, approving, or ratifying a related person transaction, the Audit Committee will consider several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488315</wp:posOffset>
            </wp:positionV>
            <wp:extent cx="642620" cy="2006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496570</wp:posOffset>
            </wp:positionV>
            <wp:extent cx="8255" cy="1930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60" w:hanging="744"/>
        <w:spacing w:after="0"/>
        <w:tabs>
          <w:tab w:leader="none" w:pos="1160" w:val="left"/>
        </w:tabs>
        <w:numPr>
          <w:ilvl w:val="0"/>
          <w:numId w:val="5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Transactions with Related Persons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Collaborations with Sanofi</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the beneficial owner of 23,353,665 shares of common stock of the Company, or 22.6% of the common stock outstanding as of April 14, 2016, Sanofi is considered a related person of the Company. In 2015, Sanofi funded $145.0 million of our antibody discovery expenses under the Amended and Restated Discovery and Preclinical Development Agreement, and $747.8 million of our development and other costs (including $157.4 million of commercialization-related expenses) under the Amended and Restated License and Collaboration Agreement. In addition, in 2015, we funded $92.6 million of Sanofi's Phase 3 development costs for Praluent® and sarilumab under the Amended and Restated License and Collaboration Agreement. In 2015, we and Sanofi shared losses in connection with commercialization-related activities for Praluent® (which was launched in 2015 following receipt of regulatory approval in the United States and the European Union) and sarilumab, which resulted in us funding $240.0 million of such costs. In 2016, Sanofi has continued to fund the agreed-upon worldwide research and development expenses incurred by us and Sanofi, we have continued to fund certain Phase 3 development costs, and we and Sanofi have continued to share certain commercialization-related revenues and expenses under the Agreements.</w:t>
      </w:r>
    </w:p>
    <w:p>
      <w:pPr>
        <w:spacing w:after="0" w:line="3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July 2015, we and Sanofi entered into a collaboration to discover, develop, and commercialize antibody-based cancer treatments in the field of immuno-oncology (the "IO Collaboration"). The IO Collaboration is governed by an Immuno-oncology Discovery and Development Agreement (the "IO Discovery Agreement"), and an Immuno-oncology License and Collaboration Agreement (the "IO License and Collaboration Agreement"). In connection with the IO Discovery Agreement, Sanofi made a $265.0 million non-refundable up-front payment to us in 2015. Pursuant to the IO Discovery Agreement, we will spend up to $1,090.0 million (the "IO Discovery Budget") to identify and validate potential immuno-oncology</w:t>
      </w:r>
    </w:p>
    <w:p>
      <w:pPr>
        <w:sectPr>
          <w:pgSz w:w="11900" w:h="16838" w:orient="portrait"/>
          <w:cols w:equalWidth="0" w:num="2">
            <w:col w:w="5380" w:space="680"/>
            <w:col w:w="5360"/>
          </w:cols>
          <w:pgMar w:left="240" w:top="142"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targets and develop therapeutic antibodies against such targets through clinical proof-of-concept. Sanofi will reimburse us for up to $825.0 million of these costs, subject to certain annual limits. In connection with the IO License and Collaboration Agreement, Sanofi made a $375.0 million non-refundable up-front payment to us in 2015. Under the terms of the IO License and Collaboration Agreement, the parties will also co-develop our antibody product candidate targeting the receptor known as Programmed Cell Death protein 1, or PD-1 ("REGN2810"). The parties will share equally, on an ongoing basis, development expenses for REGN2810 up to a total of $650.0 million. In 2015, Sanofi funded $29.2 million of our research and development expenses under the IO Discovery Agreement and $10.8 million under the IO License and Collaboration Agreement.</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2013, we acquired from Sanofi exclusive rights to antibodies targeting the platelet derived growth factor (PDGF) family of receptors and ligands. In connection with this arrangement, we made a $10.0 million development milestone payment to Sanofi in 2015.</w:t>
      </w:r>
    </w:p>
    <w:p>
      <w:pPr>
        <w:spacing w:after="0" w:line="18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During 2014, Sanofi agreed to fund up to $17.5 million of agreed-upon costs incurred by us in connection with expanding manufacturing capacity at our Rensselaer, New York facility, of which $13.2 had been received or was receivable as of December 31, 2015.</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description of our antibody collaboration and our IO Collaboration with Sanofi is set forth in Part II, Item 7. "Management's Discussion and Analysis of Financial Condition and Results of Operations" of our 2015 Annual Report under the heading "Liquidity and Capital Resources – Collaborations with Sanofi – Antibodies" and "– Immuno-Oncology," respectively.</w:t>
      </w:r>
    </w:p>
    <w:p>
      <w:pPr>
        <w:spacing w:after="0" w:line="3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February 2015, we and Sanofi entered into an amended and restated collaboration agreement relating to ZALTRAP® (ziv-aflibercept) Injection for Intravenous Infusion (the "Amended ZALTRAP® Collaboration Agreement"). Under the terms of the Amended ZALTRAP® Collaboration Agreement, Sanofi is solely responsible for the development and commercialization of ZALTRAP® for cancer indications worldwide. Sanofi bears the cost of all development and commercialization activities and reimburses Regeneron for its costs for any such activities. Sanofi will pay Regeneron a percentage of aggregate net sales of ZALTRAP® during each calendar year, which percentage shall be from 15% to 30%, depending on the aggregate net sales of ZALTRAP® in such calendar year. Regeneron is also paid for all quantities of ZALTRAP® manufactured by it pursuant to a supply agreement through the earlier of 2021 or the date Sanofi receives regulatory approval to manufacture ZALTRAP® at one of its facilities or a facility of a third party. Regeneron is no longer required to reimburse Sanofi for fifty percent of the development expenses that Sanofi previously funded for the development of ZALTRAP® under the original ZALTRAP® collaboration agreement.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626745</wp:posOffset>
            </wp:positionV>
            <wp:extent cx="725995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result of entering into the Amended ZALTRAP® Collaboration Agreement, in 2015, we recognized $14.9 million of collaboration revenue, which was previously recorded as deferred revenue under the original ZALTRAP® collaboration agreement. In addition, during the year ended December 31, 2015, we recorded $38.8 million of revenue, primarily related to (i) revenues earned from Sanofi based on a percentage of net sales of ZALTRAP® and (ii) revenues earned from Sanofi for manufacturing ZALTRAP® commercial supplies.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description of the Amended ZALTRAP® Collaboration Agreement is set forth in Part I, Item 1. "Business" of our 2015 Annual Report, under the heading "Collaboration Agreements – Collaborations with Sanofi – ZALTRAP."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Investor Agreement with Sanofi</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January 2014, we entered into an Amended and Restated Investor Agreement with Sanofi. Pursuant to the agreement,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3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were required under the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Regeneron,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for a term expiring at the 2016 annual shareholder meeting and resigned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250825</wp:posOffset>
            </wp:positionV>
            <wp:extent cx="8255" cy="1930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375" w:lineRule="exact"/>
        <w:rPr>
          <w:sz w:val="20"/>
          <w:szCs w:val="20"/>
          <w:color w:val="auto"/>
        </w:rPr>
      </w:pPr>
    </w:p>
    <w:tbl>
      <w:tblPr>
        <w:tblLayout w:type="fixed"/>
        <w:tblInd w:w="720" w:type="dxa"/>
        <w:tblCellMar>
          <w:top w:w="0" w:type="dxa"/>
          <w:left w:w="0" w:type="dxa"/>
          <w:bottom w:w="0" w:type="dxa"/>
          <w:right w:w="0" w:type="dxa"/>
        </w:tblCellMar>
      </w:tblPr>
      <w:tr>
        <w:trPr>
          <w:trHeight w:val="304"/>
        </w:trPr>
        <w:tc>
          <w:tcPr>
            <w:tcW w:w="3640" w:type="dxa"/>
            <w:vAlign w:val="bottom"/>
          </w:tcPr>
          <w:p>
            <w:pPr>
              <w:spacing w:after="0"/>
              <w:rPr>
                <w:sz w:val="20"/>
                <w:szCs w:val="20"/>
                <w:color w:val="auto"/>
              </w:rPr>
            </w:pPr>
            <w:r>
              <w:rPr>
                <w:rFonts w:ascii="Arial" w:cs="Arial" w:eastAsia="Arial" w:hAnsi="Arial"/>
                <w:sz w:val="16"/>
                <w:szCs w:val="16"/>
                <w:color w:val="183394"/>
              </w:rPr>
              <w:t>Certain Relationships and Related Transactions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31</w:t>
            </w:r>
          </w:p>
        </w:tc>
      </w:tr>
    </w:tbl>
    <w:p>
      <w:pPr>
        <w:sectPr>
          <w:pgSz w:w="11900" w:h="16838" w:orient="portrait"/>
          <w:cols w:equalWidth="0" w:num="2">
            <w:col w:w="5380" w:space="680"/>
            <w:col w:w="5360"/>
          </w:cols>
          <w:pgMar w:left="240" w:top="142"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November 10, 2015. In December 2015, Sanofi disclosed in an amendment to its Schedule 13D filed with the SEC its intention to designate a successor designee.</w:t>
      </w:r>
    </w:p>
    <w:p>
      <w:pPr>
        <w:spacing w:after="0" w:line="185"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Under the Amended and Restated Investor Agreement, Sanofi also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w:t>
      </w:r>
    </w:p>
    <w:p>
      <w:pPr>
        <w:spacing w:after="0" w:line="2" w:lineRule="exact"/>
        <w:rPr>
          <w:sz w:val="20"/>
          <w:szCs w:val="20"/>
          <w:color w:val="auto"/>
        </w:rPr>
      </w:pPr>
    </w:p>
    <w:p>
      <w:pPr>
        <w:jc w:val="both"/>
        <w:ind w:firstLine="1"/>
        <w:spacing w:after="0" w:line="250" w:lineRule="auto"/>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December 20, 2020 or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Regeneron.</w:t>
      </w:r>
    </w:p>
    <w:p>
      <w:pPr>
        <w:spacing w:after="0" w:line="38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Pursuant to the Amended and Restated Investor Agreement, Sanofi is bound by certain "standstill" provisions, which contractually prohibit Sanofi from seeking to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1930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244475</wp:posOffset>
            </wp:positionV>
            <wp:extent cx="8255" cy="1930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4" w:lineRule="exact"/>
        <w:rPr>
          <w:sz w:val="20"/>
          <w:szCs w:val="20"/>
          <w:color w:val="auto"/>
        </w:rPr>
      </w:pPr>
    </w:p>
    <w:p>
      <w:pPr>
        <w:ind w:left="1160" w:hanging="744"/>
        <w:spacing w:after="0"/>
        <w:tabs>
          <w:tab w:leader="none" w:pos="1160" w:val="left"/>
        </w:tabs>
        <w:numPr>
          <w:ilvl w:val="0"/>
          <w:numId w:val="5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Certain Relationships and Related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3"/>
        <w:spacing w:after="0" w:line="247" w:lineRule="auto"/>
        <w:rPr>
          <w:sz w:val="20"/>
          <w:szCs w:val="20"/>
          <w:color w:val="auto"/>
        </w:rPr>
      </w:pPr>
      <w:r>
        <w:rPr>
          <w:rFonts w:ascii="Arial" w:cs="Arial" w:eastAsia="Arial" w:hAnsi="Arial"/>
          <w:sz w:val="16"/>
          <w:szCs w:val="16"/>
          <w:color w:val="auto"/>
        </w:rPr>
        <w:t>exert control of Regeneron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w:t>
      </w:r>
    </w:p>
    <w:p>
      <w:pPr>
        <w:spacing w:after="0" w:line="3" w:lineRule="exact"/>
        <w:rPr>
          <w:sz w:val="20"/>
          <w:szCs w:val="20"/>
          <w:color w:val="auto"/>
        </w:rPr>
      </w:pPr>
    </w:p>
    <w:p>
      <w:pPr>
        <w:jc w:val="both"/>
        <w:ind w:left="3" w:hanging="3"/>
        <w:spacing w:after="0" w:line="247" w:lineRule="auto"/>
        <w:tabs>
          <w:tab w:leader="none" w:pos="239"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1" w:lineRule="exact"/>
        <w:rPr>
          <w:rFonts w:ascii="Arial" w:cs="Arial" w:eastAsia="Arial" w:hAnsi="Arial"/>
          <w:sz w:val="16"/>
          <w:szCs w:val="16"/>
          <w:color w:val="auto"/>
        </w:rPr>
      </w:pPr>
    </w:p>
    <w:p>
      <w:pPr>
        <w:jc w:val="both"/>
        <w:ind w:left="3" w:hanging="3"/>
        <w:spacing w:after="0" w:line="247" w:lineRule="auto"/>
        <w:tabs>
          <w:tab w:leader="none" w:pos="2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date of any issuance of shares of common stock by us that would result in another party's having more than 10% of the voting power of our then outstanding Class A stock and common stock (taken together) unless such party enters into a standstill agreement containing certain terms substantially similar to the standstill obligations of Sanofi; or</w:t>
      </w:r>
    </w:p>
    <w:p>
      <w:pPr>
        <w:spacing w:after="0" w:line="2" w:lineRule="exact"/>
        <w:rPr>
          <w:rFonts w:ascii="Arial" w:cs="Arial" w:eastAsia="Arial" w:hAnsi="Arial"/>
          <w:sz w:val="16"/>
          <w:szCs w:val="16"/>
          <w:color w:val="auto"/>
        </w:rPr>
      </w:pPr>
    </w:p>
    <w:p>
      <w:pPr>
        <w:ind w:left="3" w:hanging="3"/>
        <w:spacing w:after="0" w:line="264" w:lineRule="auto"/>
        <w:tabs>
          <w:tab w:leader="none" w:pos="3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other specified events, such as a liquidation or dissolution of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871855</wp:posOffset>
            </wp:positionV>
            <wp:extent cx="725995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3"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2: Ratification of Appointment of Independent Registered Public Accounting Firm</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2016. PricewaterhouseCoopers LLP (or its predecessor) has audited the Company's financial statements for the past 27 years.</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2016 be submitted for ratification by the shareholders at the Annual Meeting. Shareholder ratification of the appointment of PricewaterhouseCoopers LLP as the Company's independent registered public accounting firm for fiscal year 2016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2016, the board of directors will consider the matter at its next meeting.</w:t>
      </w:r>
    </w:p>
    <w:p>
      <w:pPr>
        <w:spacing w:after="0" w:line="19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PricewaterhouseCoopers LLP has advised the Company that it will have in attendance at the 2016 Annual Meeting a representative who will be afforded an opportunity to make a statement, if such representative desires to do so, and will respond to appropriate questions presented at the 2016 Annual Meeting.</w:t>
      </w:r>
    </w:p>
    <w:p>
      <w:pPr>
        <w:spacing w:after="0" w:line="169" w:lineRule="exact"/>
        <w:rPr>
          <w:sz w:val="20"/>
          <w:szCs w:val="20"/>
          <w:color w:val="auto"/>
        </w:rPr>
      </w:pPr>
    </w:p>
    <w:p>
      <w:pPr>
        <w:ind w:right="1040"/>
        <w:spacing w:after="0" w:line="290" w:lineRule="auto"/>
        <w:rPr>
          <w:sz w:val="20"/>
          <w:szCs w:val="20"/>
          <w:color w:val="auto"/>
        </w:rPr>
      </w:pPr>
      <w:r>
        <w:rPr>
          <w:rFonts w:ascii="Arial" w:cs="Arial" w:eastAsia="Arial" w:hAnsi="Arial"/>
          <w:sz w:val="16"/>
          <w:szCs w:val="16"/>
          <w:b w:val="1"/>
          <w:bCs w:val="1"/>
          <w:color w:val="5668B0"/>
        </w:rPr>
        <w:t>Information about Fees Paid to Independent Registered Public Accounting Firm</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Aggregate fees incurred related to services provided to the Company by PricewaterhouseCoopers LLP for the years ended December 31, 2015 and 2014 were: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60" w:type="dxa"/>
            <w:vAlign w:val="bottom"/>
            <w:shd w:val="clear" w:color="auto" w:fill="5668B0"/>
          </w:tcPr>
          <w:p>
            <w:pPr>
              <w:spacing w:after="0"/>
              <w:rPr>
                <w:sz w:val="17"/>
                <w:szCs w:val="17"/>
                <w:color w:val="auto"/>
              </w:rPr>
            </w:pPr>
          </w:p>
        </w:tc>
        <w:tc>
          <w:tcPr>
            <w:tcW w:w="900" w:type="dxa"/>
            <w:vAlign w:val="bottom"/>
            <w:shd w:val="clear" w:color="auto" w:fill="5668B0"/>
          </w:tcPr>
          <w:p>
            <w:pPr>
              <w:spacing w:after="0"/>
              <w:rPr>
                <w:sz w:val="17"/>
                <w:szCs w:val="17"/>
                <w:color w:val="auto"/>
              </w:rPr>
            </w:pPr>
          </w:p>
        </w:tc>
        <w:tc>
          <w:tcPr>
            <w:tcW w:w="1000" w:type="dxa"/>
            <w:vAlign w:val="bottom"/>
            <w:shd w:val="clear" w:color="auto" w:fill="5668B0"/>
          </w:tcPr>
          <w:p>
            <w:pPr>
              <w:jc w:val="right"/>
              <w:ind w:right="81"/>
              <w:spacing w:after="0"/>
              <w:rPr>
                <w:sz w:val="20"/>
                <w:szCs w:val="20"/>
                <w:color w:val="auto"/>
              </w:rPr>
            </w:pPr>
            <w:r>
              <w:rPr>
                <w:rFonts w:ascii="Arial" w:cs="Arial" w:eastAsia="Arial" w:hAnsi="Arial"/>
                <w:sz w:val="13"/>
                <w:szCs w:val="13"/>
                <w:color w:val="FFFFFE"/>
              </w:rPr>
              <w:t>2015</w:t>
            </w:r>
          </w:p>
        </w:tc>
        <w:tc>
          <w:tcPr>
            <w:tcW w:w="320" w:type="dxa"/>
            <w:vAlign w:val="bottom"/>
            <w:shd w:val="clear" w:color="auto" w:fill="5668B0"/>
          </w:tcPr>
          <w:p>
            <w:pPr>
              <w:spacing w:after="0"/>
              <w:rPr>
                <w:sz w:val="17"/>
                <w:szCs w:val="17"/>
                <w:color w:val="auto"/>
              </w:rPr>
            </w:pPr>
          </w:p>
        </w:tc>
        <w:tc>
          <w:tcPr>
            <w:tcW w:w="84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2014</w:t>
            </w:r>
          </w:p>
        </w:tc>
      </w:tr>
      <w:tr>
        <w:trPr>
          <w:trHeight w:val="190"/>
        </w:trPr>
        <w:tc>
          <w:tcPr>
            <w:tcW w:w="2160" w:type="dxa"/>
            <w:vAlign w:val="bottom"/>
            <w:shd w:val="clear" w:color="auto" w:fill="E6ECF8"/>
          </w:tcPr>
          <w:p>
            <w:pPr>
              <w:spacing w:after="0"/>
              <w:rPr>
                <w:sz w:val="20"/>
                <w:szCs w:val="20"/>
                <w:color w:val="auto"/>
              </w:rPr>
            </w:pPr>
            <w:r>
              <w:rPr>
                <w:rFonts w:ascii="Arial" w:cs="Arial" w:eastAsia="Arial" w:hAnsi="Arial"/>
                <w:sz w:val="16"/>
                <w:szCs w:val="16"/>
                <w:color w:val="auto"/>
              </w:rPr>
              <w:t>Audit Fees</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1"/>
              <w:spacing w:after="0"/>
              <w:rPr>
                <w:sz w:val="20"/>
                <w:szCs w:val="20"/>
                <w:color w:val="auto"/>
              </w:rPr>
            </w:pPr>
            <w:r>
              <w:rPr>
                <w:rFonts w:ascii="Arial" w:cs="Arial" w:eastAsia="Arial" w:hAnsi="Arial"/>
                <w:sz w:val="16"/>
                <w:szCs w:val="16"/>
                <w:color w:val="auto"/>
              </w:rPr>
              <w:t>1,721,000</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1,567,493</w:t>
            </w:r>
          </w:p>
        </w:tc>
      </w:tr>
      <w:tr>
        <w:trPr>
          <w:trHeight w:val="190"/>
        </w:trPr>
        <w:tc>
          <w:tcPr>
            <w:tcW w:w="2160" w:type="dxa"/>
            <w:vAlign w:val="bottom"/>
            <w:shd w:val="clear" w:color="auto" w:fill="D0DBEF"/>
          </w:tcPr>
          <w:p>
            <w:pPr>
              <w:spacing w:after="0"/>
              <w:rPr>
                <w:sz w:val="20"/>
                <w:szCs w:val="20"/>
                <w:color w:val="auto"/>
              </w:rPr>
            </w:pPr>
            <w:r>
              <w:rPr>
                <w:rFonts w:ascii="Arial" w:cs="Arial" w:eastAsia="Arial" w:hAnsi="Arial"/>
                <w:sz w:val="16"/>
                <w:szCs w:val="16"/>
                <w:color w:val="auto"/>
              </w:rPr>
              <w:t>Audit-Related Fees</w:t>
            </w:r>
          </w:p>
        </w:tc>
        <w:tc>
          <w:tcPr>
            <w:tcW w:w="900" w:type="dxa"/>
            <w:vAlign w:val="bottom"/>
            <w:shd w:val="clear" w:color="auto" w:fill="D0DBEF"/>
          </w:tcPr>
          <w:p>
            <w:pPr>
              <w:spacing w:after="0"/>
              <w:rPr>
                <w:sz w:val="16"/>
                <w:szCs w:val="16"/>
                <w:color w:val="auto"/>
              </w:rPr>
            </w:pPr>
          </w:p>
        </w:tc>
        <w:tc>
          <w:tcPr>
            <w:tcW w:w="1000" w:type="dxa"/>
            <w:vAlign w:val="bottom"/>
            <w:shd w:val="clear" w:color="auto" w:fill="D0DBEF"/>
          </w:tcPr>
          <w:p>
            <w:pPr>
              <w:jc w:val="right"/>
              <w:ind w:right="81"/>
              <w:spacing w:after="0"/>
              <w:rPr>
                <w:sz w:val="20"/>
                <w:szCs w:val="20"/>
                <w:color w:val="auto"/>
              </w:rPr>
            </w:pPr>
            <w:r>
              <w:rPr>
                <w:rFonts w:ascii="Arial" w:cs="Arial" w:eastAsia="Arial" w:hAnsi="Arial"/>
                <w:sz w:val="16"/>
                <w:szCs w:val="16"/>
                <w:color w:val="auto"/>
              </w:rPr>
              <w:t>2,007</w:t>
            </w:r>
          </w:p>
        </w:tc>
        <w:tc>
          <w:tcPr>
            <w:tcW w:w="320" w:type="dxa"/>
            <w:vAlign w:val="bottom"/>
            <w:shd w:val="clear" w:color="auto" w:fill="D0DBEF"/>
          </w:tcPr>
          <w:p>
            <w:pPr>
              <w:spacing w:after="0"/>
              <w:rPr>
                <w:sz w:val="16"/>
                <w:szCs w:val="16"/>
                <w:color w:val="auto"/>
              </w:rPr>
            </w:pPr>
          </w:p>
        </w:tc>
        <w:tc>
          <w:tcPr>
            <w:tcW w:w="8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2160" w:type="dxa"/>
            <w:vAlign w:val="bottom"/>
            <w:tcBorders>
              <w:bottom w:val="single" w:sz="8" w:color="5668B0"/>
            </w:tcBorders>
            <w:shd w:val="clear" w:color="auto" w:fill="E6ECF8"/>
          </w:tcPr>
          <w:p>
            <w:pPr>
              <w:spacing w:after="0"/>
              <w:rPr>
                <w:sz w:val="20"/>
                <w:szCs w:val="20"/>
                <w:color w:val="auto"/>
              </w:rPr>
            </w:pPr>
            <w:r>
              <w:rPr>
                <w:rFonts w:ascii="Arial" w:cs="Arial" w:eastAsia="Arial" w:hAnsi="Arial"/>
                <w:sz w:val="16"/>
                <w:szCs w:val="16"/>
                <w:color w:val="auto"/>
              </w:rPr>
              <w:t>All Other Fees</w:t>
            </w:r>
          </w:p>
        </w:tc>
        <w:tc>
          <w:tcPr>
            <w:tcW w:w="900" w:type="dxa"/>
            <w:vAlign w:val="bottom"/>
            <w:tcBorders>
              <w:bottom w:val="single" w:sz="8" w:color="5668B0"/>
            </w:tcBorders>
            <w:shd w:val="clear" w:color="auto" w:fill="E6ECF8"/>
          </w:tcPr>
          <w:p>
            <w:pPr>
              <w:spacing w:after="0"/>
              <w:rPr>
                <w:sz w:val="16"/>
                <w:szCs w:val="16"/>
                <w:color w:val="auto"/>
              </w:rPr>
            </w:pPr>
          </w:p>
        </w:tc>
        <w:tc>
          <w:tcPr>
            <w:tcW w:w="1000" w:type="dxa"/>
            <w:vAlign w:val="bottom"/>
            <w:tcBorders>
              <w:bottom w:val="single" w:sz="8" w:color="5668B0"/>
            </w:tcBorders>
            <w:shd w:val="clear" w:color="auto" w:fill="E6ECF8"/>
          </w:tcPr>
          <w:p>
            <w:pPr>
              <w:jc w:val="right"/>
              <w:ind w:right="81"/>
              <w:spacing w:after="0"/>
              <w:rPr>
                <w:sz w:val="20"/>
                <w:szCs w:val="20"/>
                <w:color w:val="auto"/>
              </w:rPr>
            </w:pPr>
            <w:r>
              <w:rPr>
                <w:rFonts w:ascii="Arial" w:cs="Arial" w:eastAsia="Arial" w:hAnsi="Arial"/>
                <w:sz w:val="16"/>
                <w:szCs w:val="16"/>
                <w:color w:val="auto"/>
              </w:rPr>
              <w:t>4,637</w:t>
            </w:r>
          </w:p>
        </w:tc>
        <w:tc>
          <w:tcPr>
            <w:tcW w:w="320" w:type="dxa"/>
            <w:vAlign w:val="bottom"/>
            <w:tcBorders>
              <w:bottom w:val="single" w:sz="8" w:color="5668B0"/>
            </w:tcBorders>
            <w:shd w:val="clear" w:color="auto" w:fill="E6ECF8"/>
          </w:tcPr>
          <w:p>
            <w:pPr>
              <w:spacing w:after="0"/>
              <w:rPr>
                <w:sz w:val="16"/>
                <w:szCs w:val="16"/>
                <w:color w:val="auto"/>
              </w:rPr>
            </w:pPr>
          </w:p>
        </w:tc>
        <w:tc>
          <w:tcPr>
            <w:tcW w:w="84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4,812</w:t>
            </w:r>
          </w:p>
        </w:tc>
      </w:tr>
      <w:tr>
        <w:trPr>
          <w:trHeight w:val="182"/>
        </w:trPr>
        <w:tc>
          <w:tcPr>
            <w:tcW w:w="2160" w:type="dxa"/>
            <w:vAlign w:val="bottom"/>
            <w:shd w:val="clear" w:color="auto" w:fill="D0DBEF"/>
          </w:tcPr>
          <w:p>
            <w:pPr>
              <w:spacing w:after="0" w:line="182" w:lineRule="exact"/>
              <w:rPr>
                <w:sz w:val="20"/>
                <w:szCs w:val="20"/>
                <w:color w:val="auto"/>
              </w:rPr>
            </w:pPr>
            <w:r>
              <w:rPr>
                <w:rFonts w:ascii="Arial" w:cs="Arial" w:eastAsia="Arial" w:hAnsi="Arial"/>
                <w:sz w:val="16"/>
                <w:szCs w:val="16"/>
                <w:color w:val="auto"/>
              </w:rPr>
              <w:t>Total Fees</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D0DBEF"/>
          </w:tcPr>
          <w:p>
            <w:pPr>
              <w:jc w:val="right"/>
              <w:ind w:right="81"/>
              <w:spacing w:after="0" w:line="182" w:lineRule="exact"/>
              <w:rPr>
                <w:sz w:val="20"/>
                <w:szCs w:val="20"/>
                <w:color w:val="auto"/>
              </w:rPr>
            </w:pPr>
            <w:r>
              <w:rPr>
                <w:rFonts w:ascii="Arial" w:cs="Arial" w:eastAsia="Arial" w:hAnsi="Arial"/>
                <w:sz w:val="16"/>
                <w:szCs w:val="16"/>
                <w:color w:val="auto"/>
              </w:rPr>
              <w:t>1,727,644</w:t>
            </w:r>
          </w:p>
        </w:tc>
        <w:tc>
          <w:tcPr>
            <w:tcW w:w="32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1,572,305</w:t>
            </w:r>
          </w:p>
        </w:tc>
      </w:tr>
    </w:tbl>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Audit fees in 2015 and 2014 were primarily for professional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rendered for the audit of the 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Audit-related fees in 2015 were for professional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rendered for the review of a benefit plan of a foreign subsidiary of the Company.</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All other fees in 2015 and 2014 were for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to a technical accounting database and for professional services rendered to a foreign subsidiary of the Company.</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Audit Committee has adopted a policy regarding the pre-approval of audit and permitted non-audit services to be performed by the Company's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independent registered public accounting firm, PricewaterhouseCoopers LLP. The Audit Committee will, on an annual basis, consider and, if appropriate, approve the provision of audit and non-audit services by PricewaterhouseCoopers LLP. The Audit Committee has approved a general provision of $75,000 for accounting advisory and other permissible consulting engagements.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to the pre-approval requirements to approve any services provided by PricewaterhouseCoopers LLP during fiscal 2015 and 2014.</w:t>
      </w:r>
    </w:p>
    <w:p>
      <w:pPr>
        <w:spacing w:after="0" w:line="3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The board of directors unanimously recommends a vote FOR ratification of the appointment of PricewaterhouseCoopers LLP as the Company's independent registered public accounting firm for the fiscal year ending December 31, 2016.</w:t>
      </w:r>
    </w:p>
    <w:p>
      <w:pPr>
        <w:spacing w:after="0" w:line="3107"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40" w:type="dxa"/>
            <w:vAlign w:val="bottom"/>
            <w:tcBorders>
              <w:right w:val="single" w:sz="8" w:color="183394"/>
            </w:tcBorders>
          </w:tcPr>
          <w:p>
            <w:pPr>
              <w:spacing w:after="0"/>
              <w:rPr>
                <w:sz w:val="21"/>
                <w:szCs w:val="21"/>
                <w:color w:val="auto"/>
              </w:rPr>
            </w:pPr>
          </w:p>
        </w:tc>
        <w:tc>
          <w:tcPr>
            <w:tcW w:w="7680" w:type="dxa"/>
            <w:vAlign w:val="bottom"/>
            <w:vMerge w:val="restart"/>
          </w:tcPr>
          <w:p>
            <w:pPr>
              <w:ind w:left="660"/>
              <w:spacing w:after="0"/>
              <w:rPr>
                <w:sz w:val="20"/>
                <w:szCs w:val="20"/>
                <w:color w:val="auto"/>
              </w:rPr>
            </w:pPr>
            <w:r>
              <w:rPr>
                <w:rFonts w:ascii="Arial" w:cs="Arial" w:eastAsia="Arial" w:hAnsi="Arial"/>
                <w:sz w:val="16"/>
                <w:szCs w:val="16"/>
                <w:color w:val="183394"/>
              </w:rPr>
              <w:t>Proposal No. 2: Ratification of Appointment of Independent Registered Public Accounting Firm</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33</w:t>
            </w:r>
          </w:p>
        </w:tc>
        <w:tc>
          <w:tcPr>
            <w:tcW w:w="0" w:type="dxa"/>
            <w:vAlign w:val="bottom"/>
          </w:tcPr>
          <w:p>
            <w:pPr>
              <w:spacing w:after="0"/>
              <w:rPr>
                <w:sz w:val="1"/>
                <w:szCs w:val="1"/>
                <w:color w:val="auto"/>
              </w:rPr>
            </w:pPr>
          </w:p>
        </w:tc>
      </w:tr>
      <w:tr>
        <w:trPr>
          <w:trHeight w:val="66"/>
        </w:trPr>
        <w:tc>
          <w:tcPr>
            <w:tcW w:w="2740" w:type="dxa"/>
            <w:vAlign w:val="bottom"/>
            <w:tcBorders>
              <w:right w:val="single" w:sz="8" w:color="183394"/>
            </w:tcBorders>
          </w:tcPr>
          <w:p>
            <w:pPr>
              <w:spacing w:after="0"/>
              <w:rPr>
                <w:sz w:val="5"/>
                <w:szCs w:val="5"/>
                <w:color w:val="auto"/>
              </w:rPr>
            </w:pPr>
          </w:p>
        </w:tc>
        <w:tc>
          <w:tcPr>
            <w:tcW w:w="768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740" w:type="dxa"/>
            <w:vAlign w:val="bottom"/>
            <w:tcBorders>
              <w:bottom w:val="single" w:sz="8" w:color="808080"/>
            </w:tcBorders>
          </w:tcPr>
          <w:p>
            <w:pPr>
              <w:spacing w:after="0"/>
              <w:rPr>
                <w:sz w:val="9"/>
                <w:szCs w:val="9"/>
                <w:color w:val="auto"/>
              </w:rPr>
            </w:pPr>
          </w:p>
        </w:tc>
        <w:tc>
          <w:tcPr>
            <w:tcW w:w="76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Audit Committee Report</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Audit Committee Report below shall not be deemed to be "soliciting material" or to be filed with the SEC or subject to Regulation 14A or 14C under the Exchange Act, or to the liabilities of Section 18 of the Exchange Act. Notwithstanding anything to the contrary set forth in any of the Company's previous filings under the Securities Act of 1933, as amended (the "Securities Act"), or the Exchange Act that might incorporate future filings, including this proxy statement, in whole or in part, the Audit Committee Report below shall not be incorporated by reference into any such filings.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reviewed the audited financial statements of the Company for the year ended December 31, 2015, which are included in the Company's Annual Report on Form 10-K for the fiscal year ended December 31, 2015,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Auditing Standard No. 16, as adopted by the Public Company Accounting Oversight Board (the "PCAOB"),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642620" cy="2006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259715</wp:posOffset>
            </wp:positionV>
            <wp:extent cx="8255" cy="1930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8" w:lineRule="exact"/>
        <w:rPr>
          <w:sz w:val="20"/>
          <w:szCs w:val="20"/>
          <w:color w:val="auto"/>
        </w:rPr>
      </w:pPr>
    </w:p>
    <w:p>
      <w:pPr>
        <w:ind w:left="1160" w:hanging="744"/>
        <w:spacing w:after="0"/>
        <w:tabs>
          <w:tab w:leader="none" w:pos="1160" w:val="left"/>
        </w:tabs>
        <w:numPr>
          <w:ilvl w:val="0"/>
          <w:numId w:val="5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Audit Committee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on the foregoing discussions and review, the Audit Committee recommended to the board of directors that the audited financial statements of the Company for the year ended December 31, 2015 be included in the Company's Annual Report on Form 10-K for the fiscal year ended December 31, 2015 for filing with the Securities and Exchange Commission.</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2016. This appointment was based on a variety of factors, including PricewaterhouseCoopers LLP's competence in the fields of accounting and auditing.</w:t>
      </w:r>
    </w:p>
    <w:p>
      <w:pPr>
        <w:spacing w:after="0" w:line="173" w:lineRule="exact"/>
        <w:rPr>
          <w:sz w:val="20"/>
          <w:szCs w:val="20"/>
          <w:color w:val="auto"/>
        </w:rPr>
      </w:pPr>
    </w:p>
    <w:p>
      <w:pPr>
        <w:ind w:left="2820"/>
        <w:spacing w:after="0"/>
        <w:rPr>
          <w:sz w:val="20"/>
          <w:szCs w:val="20"/>
          <w:color w:val="auto"/>
        </w:rPr>
      </w:pPr>
      <w:r>
        <w:rPr>
          <w:rFonts w:ascii="Arial" w:cs="Arial" w:eastAsia="Arial" w:hAnsi="Arial"/>
          <w:sz w:val="16"/>
          <w:szCs w:val="16"/>
          <w:i w:val="1"/>
          <w:iCs w:val="1"/>
          <w:color w:val="auto"/>
        </w:rPr>
        <w:t>The Audit Committee</w:t>
      </w:r>
    </w:p>
    <w:p>
      <w:pPr>
        <w:spacing w:after="0" w:line="250"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George L. Sing, Chairman</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1453515</wp:posOffset>
            </wp:positionV>
            <wp:extent cx="725995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Executive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Compensation Discussion and Analysis provides information about our 2015 compensation program for the following executive officers (the "Named Officers"), whose compensation is set forth in the Summary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and the other compensation tables included in this proxy statement:</w:t>
      </w:r>
    </w:p>
    <w:p>
      <w:pPr>
        <w:spacing w:after="0" w:line="79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20" w:type="dxa"/>
            <w:vAlign w:val="bottom"/>
            <w:shd w:val="clear" w:color="auto" w:fill="5668B0"/>
          </w:tcPr>
          <w:p>
            <w:pPr>
              <w:spacing w:after="0"/>
              <w:rPr>
                <w:sz w:val="20"/>
                <w:szCs w:val="20"/>
                <w:color w:val="auto"/>
              </w:rPr>
            </w:pPr>
            <w:r>
              <w:rPr>
                <w:rFonts w:ascii="Arial" w:cs="Arial" w:eastAsia="Arial" w:hAnsi="Arial"/>
                <w:sz w:val="13"/>
                <w:szCs w:val="13"/>
                <w:b w:val="1"/>
                <w:bCs w:val="1"/>
                <w:color w:val="FFFFFE"/>
              </w:rPr>
              <w:t>Named Officer</w:t>
            </w:r>
          </w:p>
        </w:tc>
        <w:tc>
          <w:tcPr>
            <w:tcW w:w="7100" w:type="dxa"/>
            <w:vAlign w:val="bottom"/>
            <w:shd w:val="clear" w:color="auto" w:fill="5668B0"/>
          </w:tcPr>
          <w:p>
            <w:pPr>
              <w:ind w:left="1620"/>
              <w:spacing w:after="0"/>
              <w:rPr>
                <w:sz w:val="20"/>
                <w:szCs w:val="20"/>
                <w:color w:val="auto"/>
              </w:rPr>
            </w:pPr>
            <w:r>
              <w:rPr>
                <w:rFonts w:ascii="Arial" w:cs="Arial" w:eastAsia="Arial" w:hAnsi="Arial"/>
                <w:sz w:val="13"/>
                <w:szCs w:val="13"/>
                <w:b w:val="1"/>
                <w:bCs w:val="1"/>
                <w:color w:val="FFFFFE"/>
              </w:rPr>
              <w:t>Position</w:t>
            </w:r>
          </w:p>
        </w:tc>
      </w:tr>
      <w:tr>
        <w:trPr>
          <w:trHeight w:val="137"/>
        </w:trPr>
        <w:tc>
          <w:tcPr>
            <w:tcW w:w="4320" w:type="dxa"/>
            <w:vAlign w:val="bottom"/>
            <w:shd w:val="clear" w:color="auto" w:fill="5668B0"/>
          </w:tcPr>
          <w:p>
            <w:pPr>
              <w:spacing w:after="0"/>
              <w:rPr>
                <w:sz w:val="11"/>
                <w:szCs w:val="11"/>
                <w:color w:val="auto"/>
              </w:rPr>
            </w:pPr>
          </w:p>
        </w:tc>
        <w:tc>
          <w:tcPr>
            <w:tcW w:w="7100" w:type="dxa"/>
            <w:vAlign w:val="bottom"/>
            <w:shd w:val="clear" w:color="auto" w:fill="5668B0"/>
          </w:tcPr>
          <w:p>
            <w:pPr>
              <w:spacing w:after="0"/>
              <w:rPr>
                <w:sz w:val="11"/>
                <w:szCs w:val="11"/>
                <w:color w:val="auto"/>
              </w:rPr>
            </w:pPr>
          </w:p>
        </w:tc>
      </w:tr>
      <w:tr>
        <w:trPr>
          <w:trHeight w:val="190"/>
        </w:trPr>
        <w:tc>
          <w:tcPr>
            <w:tcW w:w="432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7100" w:type="dxa"/>
            <w:vAlign w:val="bottom"/>
            <w:shd w:val="clear" w:color="auto" w:fill="E6ECF8"/>
          </w:tcPr>
          <w:p>
            <w:pPr>
              <w:ind w:left="1620"/>
              <w:spacing w:after="0"/>
              <w:rPr>
                <w:sz w:val="20"/>
                <w:szCs w:val="20"/>
                <w:color w:val="auto"/>
              </w:rPr>
            </w:pPr>
            <w:r>
              <w:rPr>
                <w:rFonts w:ascii="Arial" w:cs="Arial" w:eastAsia="Arial" w:hAnsi="Arial"/>
                <w:sz w:val="16"/>
                <w:szCs w:val="16"/>
                <w:i w:val="1"/>
                <w:iCs w:val="1"/>
                <w:color w:val="auto"/>
              </w:rPr>
              <w:t>President and Chief Executive Officer</w:t>
            </w:r>
          </w:p>
        </w:tc>
      </w:tr>
      <w:tr>
        <w:trPr>
          <w:trHeight w:val="190"/>
        </w:trPr>
        <w:tc>
          <w:tcPr>
            <w:tcW w:w="4320" w:type="dxa"/>
            <w:vAlign w:val="bottom"/>
            <w:shd w:val="clear" w:color="auto" w:fill="D0DBEF"/>
          </w:tcPr>
          <w:p>
            <w:pPr>
              <w:spacing w:after="0"/>
              <w:rPr>
                <w:sz w:val="20"/>
                <w:szCs w:val="20"/>
                <w:color w:val="auto"/>
              </w:rPr>
            </w:pPr>
            <w:r>
              <w:rPr>
                <w:rFonts w:ascii="Arial" w:cs="Arial" w:eastAsia="Arial" w:hAnsi="Arial"/>
                <w:sz w:val="16"/>
                <w:szCs w:val="16"/>
                <w:color w:val="auto"/>
              </w:rPr>
              <w:t>George D. Yancopoulos, M.D., Ph.D.</w:t>
            </w:r>
          </w:p>
        </w:tc>
        <w:tc>
          <w:tcPr>
            <w:tcW w:w="7100" w:type="dxa"/>
            <w:vAlign w:val="bottom"/>
            <w:shd w:val="clear" w:color="auto" w:fill="D0DBEF"/>
          </w:tcPr>
          <w:p>
            <w:pPr>
              <w:ind w:left="1620"/>
              <w:spacing w:after="0"/>
              <w:rPr>
                <w:sz w:val="20"/>
                <w:szCs w:val="20"/>
                <w:color w:val="auto"/>
              </w:rPr>
            </w:pPr>
            <w:r>
              <w:rPr>
                <w:rFonts w:ascii="Arial" w:cs="Arial" w:eastAsia="Arial" w:hAnsi="Arial"/>
                <w:sz w:val="16"/>
                <w:szCs w:val="16"/>
                <w:i w:val="1"/>
                <w:iCs w:val="1"/>
                <w:color w:val="auto"/>
              </w:rPr>
              <w:t>President, Regeneron Laboratories and Chief Scientific Officer</w:t>
            </w:r>
          </w:p>
        </w:tc>
      </w:tr>
      <w:tr>
        <w:trPr>
          <w:trHeight w:val="190"/>
        </w:trPr>
        <w:tc>
          <w:tcPr>
            <w:tcW w:w="4320" w:type="dxa"/>
            <w:vAlign w:val="bottom"/>
            <w:shd w:val="clear" w:color="auto" w:fill="E6ECF8"/>
          </w:tcPr>
          <w:p>
            <w:pPr>
              <w:spacing w:after="0"/>
              <w:rPr>
                <w:sz w:val="20"/>
                <w:szCs w:val="20"/>
                <w:color w:val="auto"/>
              </w:rPr>
            </w:pPr>
            <w:r>
              <w:rPr>
                <w:rFonts w:ascii="Arial" w:cs="Arial" w:eastAsia="Arial" w:hAnsi="Arial"/>
                <w:sz w:val="16"/>
                <w:szCs w:val="16"/>
                <w:color w:val="auto"/>
              </w:rPr>
              <w:t>Robert E. Landry</w:t>
            </w:r>
          </w:p>
        </w:tc>
        <w:tc>
          <w:tcPr>
            <w:tcW w:w="7100" w:type="dxa"/>
            <w:vAlign w:val="bottom"/>
            <w:shd w:val="clear" w:color="auto" w:fill="E6ECF8"/>
          </w:tcPr>
          <w:p>
            <w:pPr>
              <w:ind w:left="1620"/>
              <w:spacing w:after="0"/>
              <w:rPr>
                <w:sz w:val="20"/>
                <w:szCs w:val="20"/>
                <w:color w:val="auto"/>
              </w:rPr>
            </w:pPr>
            <w:r>
              <w:rPr>
                <w:rFonts w:ascii="Arial" w:cs="Arial" w:eastAsia="Arial" w:hAnsi="Arial"/>
                <w:sz w:val="16"/>
                <w:szCs w:val="16"/>
                <w:i w:val="1"/>
                <w:iCs w:val="1"/>
                <w:color w:val="auto"/>
              </w:rPr>
              <w:t>Senior Vice President, Finance and Chief Financial Officer</w:t>
            </w:r>
          </w:p>
        </w:tc>
      </w:tr>
      <w:tr>
        <w:trPr>
          <w:trHeight w:val="190"/>
        </w:trPr>
        <w:tc>
          <w:tcPr>
            <w:tcW w:w="4320" w:type="dxa"/>
            <w:vAlign w:val="bottom"/>
            <w:shd w:val="clear" w:color="auto" w:fill="D0DBEF"/>
          </w:tcPr>
          <w:p>
            <w:pPr>
              <w:spacing w:after="0"/>
              <w:rPr>
                <w:sz w:val="20"/>
                <w:szCs w:val="20"/>
                <w:color w:val="auto"/>
              </w:rPr>
            </w:pPr>
            <w:r>
              <w:rPr>
                <w:rFonts w:ascii="Arial" w:cs="Arial" w:eastAsia="Arial" w:hAnsi="Arial"/>
                <w:sz w:val="16"/>
                <w:szCs w:val="16"/>
                <w:color w:val="auto"/>
              </w:rPr>
              <w:t>Neil Stahl, Ph.D.</w:t>
            </w:r>
          </w:p>
        </w:tc>
        <w:tc>
          <w:tcPr>
            <w:tcW w:w="7100" w:type="dxa"/>
            <w:vAlign w:val="bottom"/>
            <w:shd w:val="clear" w:color="auto" w:fill="D0DBEF"/>
          </w:tcPr>
          <w:p>
            <w:pPr>
              <w:ind w:left="1620"/>
              <w:spacing w:after="0"/>
              <w:rPr>
                <w:sz w:val="20"/>
                <w:szCs w:val="20"/>
                <w:color w:val="auto"/>
              </w:rPr>
            </w:pPr>
            <w:r>
              <w:rPr>
                <w:rFonts w:ascii="Arial" w:cs="Arial" w:eastAsia="Arial" w:hAnsi="Arial"/>
                <w:sz w:val="16"/>
                <w:szCs w:val="16"/>
                <w:i w:val="1"/>
                <w:iCs w:val="1"/>
                <w:color w:val="auto"/>
              </w:rPr>
              <w:t>Executive Vice President, Research &amp; Development</w:t>
            </w:r>
          </w:p>
        </w:tc>
      </w:tr>
      <w:tr>
        <w:trPr>
          <w:trHeight w:val="190"/>
        </w:trPr>
        <w:tc>
          <w:tcPr>
            <w:tcW w:w="4320" w:type="dxa"/>
            <w:vAlign w:val="bottom"/>
            <w:shd w:val="clear" w:color="auto" w:fill="E6ECF8"/>
          </w:tcPr>
          <w:p>
            <w:pPr>
              <w:spacing w:after="0"/>
              <w:rPr>
                <w:sz w:val="20"/>
                <w:szCs w:val="20"/>
                <w:color w:val="auto"/>
              </w:rPr>
            </w:pPr>
            <w:r>
              <w:rPr>
                <w:rFonts w:ascii="Arial" w:cs="Arial" w:eastAsia="Arial" w:hAnsi="Arial"/>
                <w:sz w:val="16"/>
                <w:szCs w:val="16"/>
                <w:color w:val="auto"/>
              </w:rPr>
              <w:t>Robert J. Terifay</w:t>
            </w:r>
          </w:p>
        </w:tc>
        <w:tc>
          <w:tcPr>
            <w:tcW w:w="7100" w:type="dxa"/>
            <w:vAlign w:val="bottom"/>
            <w:shd w:val="clear" w:color="auto" w:fill="E6ECF8"/>
          </w:tcPr>
          <w:p>
            <w:pPr>
              <w:ind w:left="1620"/>
              <w:spacing w:after="0"/>
              <w:rPr>
                <w:sz w:val="20"/>
                <w:szCs w:val="20"/>
                <w:color w:val="auto"/>
              </w:rPr>
            </w:pPr>
            <w:r>
              <w:rPr>
                <w:rFonts w:ascii="Arial" w:cs="Arial" w:eastAsia="Arial" w:hAnsi="Arial"/>
                <w:sz w:val="16"/>
                <w:szCs w:val="16"/>
                <w:i w:val="1"/>
                <w:iCs w:val="1"/>
                <w:color w:val="auto"/>
              </w:rPr>
              <w:t>Executive Vice President, Commercial</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gridSpan w:val="2"/>
          </w:tcPr>
          <w:p>
            <w:pPr>
              <w:spacing w:after="0"/>
              <w:rPr>
                <w:sz w:val="20"/>
                <w:szCs w:val="20"/>
                <w:color w:val="auto"/>
              </w:rPr>
            </w:pPr>
            <w:r>
              <w:rPr>
                <w:rFonts w:ascii="Arial" w:cs="Arial" w:eastAsia="Arial" w:hAnsi="Arial"/>
                <w:sz w:val="16"/>
                <w:szCs w:val="16"/>
                <w:color w:val="auto"/>
              </w:rPr>
              <w:t>It is organized into the following sections:</w:t>
            </w:r>
          </w:p>
        </w:tc>
        <w:tc>
          <w:tcPr>
            <w:tcW w:w="6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280" w:type="dxa"/>
            <w:vAlign w:val="bottom"/>
          </w:tcPr>
          <w:p>
            <w:pPr>
              <w:spacing w:after="0"/>
              <w:rPr>
                <w:sz w:val="20"/>
                <w:szCs w:val="20"/>
                <w:color w:val="auto"/>
              </w:rPr>
            </w:pPr>
            <w:r>
              <w:rPr>
                <w:rFonts w:ascii="Arial" w:cs="Arial" w:eastAsia="Arial" w:hAnsi="Arial"/>
                <w:sz w:val="16"/>
                <w:szCs w:val="16"/>
                <w:color w:val="5668B0"/>
              </w:rPr>
              <w:t>•</w:t>
            </w:r>
          </w:p>
        </w:tc>
        <w:tc>
          <w:tcPr>
            <w:tcW w:w="5440" w:type="dxa"/>
            <w:vAlign w:val="bottom"/>
          </w:tcPr>
          <w:p>
            <w:pPr>
              <w:ind w:left="220"/>
              <w:spacing w:after="0"/>
              <w:rPr>
                <w:sz w:val="20"/>
                <w:szCs w:val="20"/>
                <w:color w:val="auto"/>
              </w:rPr>
            </w:pPr>
            <w:r>
              <w:rPr>
                <w:rFonts w:ascii="Arial" w:cs="Arial" w:eastAsia="Arial" w:hAnsi="Arial"/>
                <w:sz w:val="16"/>
                <w:szCs w:val="16"/>
                <w:color w:val="auto"/>
              </w:rPr>
              <w:t>Section 1 – Summary (page 35)</w:t>
            </w:r>
          </w:p>
        </w:tc>
        <w:tc>
          <w:tcPr>
            <w:tcW w:w="620" w:type="dxa"/>
            <w:vAlign w:val="bottom"/>
          </w:tcPr>
          <w:p>
            <w:pPr>
              <w:ind w:left="340"/>
              <w:spacing w:after="0"/>
              <w:rPr>
                <w:sz w:val="20"/>
                <w:szCs w:val="20"/>
                <w:color w:val="auto"/>
              </w:rPr>
            </w:pPr>
            <w:r>
              <w:rPr>
                <w:rFonts w:ascii="Arial" w:cs="Arial" w:eastAsia="Arial" w:hAnsi="Arial"/>
                <w:sz w:val="16"/>
                <w:szCs w:val="16"/>
                <w:color w:val="5668B0"/>
              </w:rPr>
              <w:t>•</w:t>
            </w:r>
          </w:p>
        </w:tc>
        <w:tc>
          <w:tcPr>
            <w:tcW w:w="5080" w:type="dxa"/>
            <w:vAlign w:val="bottom"/>
          </w:tcPr>
          <w:p>
            <w:pPr>
              <w:ind w:left="220"/>
              <w:spacing w:after="0"/>
              <w:rPr>
                <w:sz w:val="20"/>
                <w:szCs w:val="20"/>
                <w:color w:val="auto"/>
              </w:rPr>
            </w:pPr>
            <w:r>
              <w:rPr>
                <w:rFonts w:ascii="Arial" w:cs="Arial" w:eastAsia="Arial" w:hAnsi="Arial"/>
                <w:sz w:val="16"/>
                <w:szCs w:val="16"/>
                <w:color w:val="auto"/>
              </w:rPr>
              <w:t>Section 3 – Executive Compensation Process and Considerations</w:t>
            </w:r>
          </w:p>
        </w:tc>
        <w:tc>
          <w:tcPr>
            <w:tcW w:w="0" w:type="dxa"/>
            <w:vAlign w:val="bottom"/>
          </w:tcPr>
          <w:p>
            <w:pPr>
              <w:spacing w:after="0"/>
              <w:rPr>
                <w:sz w:val="1"/>
                <w:szCs w:val="1"/>
                <w:color w:val="auto"/>
              </w:rPr>
            </w:pPr>
          </w:p>
        </w:tc>
      </w:tr>
      <w:tr>
        <w:trPr>
          <w:trHeight w:val="197"/>
        </w:trPr>
        <w:tc>
          <w:tcPr>
            <w:tcW w:w="280" w:type="dxa"/>
            <w:vAlign w:val="bottom"/>
            <w:vMerge w:val="restart"/>
          </w:tcPr>
          <w:p>
            <w:pPr>
              <w:spacing w:after="0"/>
              <w:rPr>
                <w:sz w:val="20"/>
                <w:szCs w:val="20"/>
                <w:color w:val="auto"/>
              </w:rPr>
            </w:pPr>
            <w:r>
              <w:rPr>
                <w:rFonts w:ascii="Arial" w:cs="Arial" w:eastAsia="Arial" w:hAnsi="Arial"/>
                <w:sz w:val="16"/>
                <w:szCs w:val="16"/>
                <w:color w:val="5668B0"/>
              </w:rPr>
              <w:t>•</w:t>
            </w:r>
          </w:p>
        </w:tc>
        <w:tc>
          <w:tcPr>
            <w:tcW w:w="5440" w:type="dxa"/>
            <w:vAlign w:val="bottom"/>
            <w:vMerge w:val="restart"/>
          </w:tcPr>
          <w:p>
            <w:pPr>
              <w:ind w:left="220"/>
              <w:spacing w:after="0"/>
              <w:rPr>
                <w:sz w:val="20"/>
                <w:szCs w:val="20"/>
                <w:color w:val="auto"/>
              </w:rPr>
            </w:pPr>
            <w:r>
              <w:rPr>
                <w:rFonts w:ascii="Arial" w:cs="Arial" w:eastAsia="Arial" w:hAnsi="Arial"/>
                <w:sz w:val="16"/>
                <w:szCs w:val="16"/>
                <w:color w:val="auto"/>
              </w:rPr>
              <w:t>Section 2 – Analysis of 2015 Executive Compensation Based on</w:t>
            </w:r>
          </w:p>
        </w:tc>
        <w:tc>
          <w:tcPr>
            <w:tcW w:w="620" w:type="dxa"/>
            <w:vAlign w:val="bottom"/>
          </w:tcPr>
          <w:p>
            <w:pPr>
              <w:spacing w:after="0"/>
              <w:rPr>
                <w:sz w:val="17"/>
                <w:szCs w:val="17"/>
                <w:color w:val="auto"/>
              </w:rPr>
            </w:pPr>
          </w:p>
        </w:tc>
        <w:tc>
          <w:tcPr>
            <w:tcW w:w="5080" w:type="dxa"/>
            <w:vAlign w:val="bottom"/>
          </w:tcPr>
          <w:p>
            <w:pPr>
              <w:ind w:left="220"/>
              <w:spacing w:after="0"/>
              <w:rPr>
                <w:sz w:val="20"/>
                <w:szCs w:val="20"/>
                <w:color w:val="auto"/>
              </w:rPr>
            </w:pPr>
            <w:r>
              <w:rPr>
                <w:rFonts w:ascii="Arial" w:cs="Arial" w:eastAsia="Arial" w:hAnsi="Arial"/>
                <w:sz w:val="16"/>
                <w:szCs w:val="16"/>
                <w:color w:val="auto"/>
              </w:rPr>
              <w:t>(page 49)</w:t>
            </w:r>
          </w:p>
        </w:tc>
        <w:tc>
          <w:tcPr>
            <w:tcW w:w="0" w:type="dxa"/>
            <w:vAlign w:val="bottom"/>
          </w:tcPr>
          <w:p>
            <w:pPr>
              <w:spacing w:after="0"/>
              <w:rPr>
                <w:sz w:val="1"/>
                <w:szCs w:val="1"/>
                <w:color w:val="auto"/>
              </w:rPr>
            </w:pPr>
          </w:p>
        </w:tc>
      </w:tr>
      <w:tr>
        <w:trPr>
          <w:trHeight w:val="183"/>
        </w:trPr>
        <w:tc>
          <w:tcPr>
            <w:tcW w:w="280" w:type="dxa"/>
            <w:vAlign w:val="bottom"/>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5440" w:type="dxa"/>
            <w:vAlign w:val="bottom"/>
          </w:tcPr>
          <w:p>
            <w:pPr>
              <w:ind w:left="220"/>
              <w:spacing w:after="0"/>
              <w:rPr>
                <w:sz w:val="20"/>
                <w:szCs w:val="20"/>
                <w:color w:val="auto"/>
              </w:rPr>
            </w:pPr>
            <w:r>
              <w:rPr>
                <w:rFonts w:ascii="Arial" w:cs="Arial" w:eastAsia="Arial" w:hAnsi="Arial"/>
                <w:sz w:val="16"/>
                <w:szCs w:val="16"/>
                <w:color w:val="auto"/>
              </w:rPr>
              <w:t>Compensation Objectives (page 40)</w:t>
            </w:r>
          </w:p>
        </w:tc>
        <w:tc>
          <w:tcPr>
            <w:tcW w:w="620" w:type="dxa"/>
            <w:vAlign w:val="bottom"/>
          </w:tcPr>
          <w:p>
            <w:pPr>
              <w:ind w:left="340"/>
              <w:spacing w:after="0"/>
              <w:rPr>
                <w:sz w:val="20"/>
                <w:szCs w:val="20"/>
                <w:color w:val="auto"/>
              </w:rPr>
            </w:pPr>
            <w:r>
              <w:rPr>
                <w:rFonts w:ascii="Arial" w:cs="Arial" w:eastAsia="Arial" w:hAnsi="Arial"/>
                <w:sz w:val="16"/>
                <w:szCs w:val="16"/>
                <w:color w:val="5668B0"/>
              </w:rPr>
              <w:t>•</w:t>
            </w:r>
          </w:p>
        </w:tc>
        <w:tc>
          <w:tcPr>
            <w:tcW w:w="5080" w:type="dxa"/>
            <w:vAlign w:val="bottom"/>
          </w:tcPr>
          <w:p>
            <w:pPr>
              <w:ind w:left="220"/>
              <w:spacing w:after="0"/>
              <w:rPr>
                <w:sz w:val="20"/>
                <w:szCs w:val="20"/>
                <w:color w:val="auto"/>
              </w:rPr>
            </w:pPr>
            <w:r>
              <w:rPr>
                <w:rFonts w:ascii="Arial" w:cs="Arial" w:eastAsia="Arial" w:hAnsi="Arial"/>
                <w:sz w:val="16"/>
                <w:szCs w:val="16"/>
                <w:color w:val="auto"/>
              </w:rPr>
              <w:t>Section 4 – Elements of Executive Compensation (page 54)</w:t>
            </w:r>
          </w:p>
        </w:tc>
        <w:tc>
          <w:tcPr>
            <w:tcW w:w="0" w:type="dxa"/>
            <w:vAlign w:val="bottom"/>
          </w:tcPr>
          <w:p>
            <w:pPr>
              <w:spacing w:after="0"/>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Section 1 –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2015 Performance Overview</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fully integrated biopharmaceutical company that discovers, invents, develops, manufactures, and commercializes medicines for the treatment of serious medical conditions. We commercialize medicines for eye diseases, high LDL cholesterol, and a rare inflammatory condition and have product candidates in development in other areas of high unmet medical need, including oncology, rheumatoid arthritis, asthma, atopic dermatitis, pain, and infectious diseases. For more information about our business, please see Part I, Item 1. "Business" and Part II, Item 7. "Management's Discussion and Analysis of Financial Condition and Results of Operations" of our 2015 Annual Report.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2015 was another extraordinary year for Regeneron. Our key accomplishments in 2015 included:</w:t>
      </w:r>
    </w:p>
    <w:p>
      <w:pPr>
        <w:spacing w:after="0" w:line="161" w:lineRule="exact"/>
        <w:rPr>
          <w:sz w:val="20"/>
          <w:szCs w:val="20"/>
          <w:color w:val="auto"/>
        </w:rPr>
      </w:pPr>
    </w:p>
    <w:p>
      <w:pPr>
        <w:ind w:left="500" w:hanging="499"/>
        <w:spacing w:after="0" w:line="285" w:lineRule="auto"/>
        <w:tabs>
          <w:tab w:leader="none" w:pos="500" w:val="left"/>
        </w:tabs>
        <w:numPr>
          <w:ilvl w:val="0"/>
          <w:numId w:val="57"/>
        </w:numPr>
        <w:rPr>
          <w:rFonts w:ascii="Arial" w:cs="Arial" w:eastAsia="Arial" w:hAnsi="Arial"/>
          <w:sz w:val="16"/>
          <w:szCs w:val="16"/>
          <w:color w:val="5668B0"/>
        </w:rPr>
      </w:pPr>
      <w:r>
        <w:rPr>
          <w:rFonts w:ascii="Arial" w:cs="Arial" w:eastAsia="Arial" w:hAnsi="Arial"/>
          <w:sz w:val="16"/>
          <w:szCs w:val="16"/>
          <w:i w:val="1"/>
          <w:iCs w:val="1"/>
          <w:color w:val="auto"/>
        </w:rPr>
        <w:t xml:space="preserve">47% growth in EYLEA® (aflibercept) Injection global net product sales </w:t>
      </w:r>
      <w:r>
        <w:rPr>
          <w:rFonts w:ascii="Arial" w:cs="Arial" w:eastAsia="Arial" w:hAnsi="Arial"/>
          <w:sz w:val="16"/>
          <w:szCs w:val="16"/>
          <w:color w:val="auto"/>
        </w:rPr>
        <w:t>as compared to 2014, from $2.775 billion to $4.089 billion.</w:t>
      </w:r>
    </w:p>
    <w:p>
      <w:pPr>
        <w:spacing w:after="0" w:line="145" w:lineRule="exact"/>
        <w:rPr>
          <w:rFonts w:ascii="Arial" w:cs="Arial" w:eastAsia="Arial" w:hAnsi="Arial"/>
          <w:sz w:val="16"/>
          <w:szCs w:val="16"/>
          <w:color w:val="5668B0"/>
        </w:rPr>
      </w:pPr>
    </w:p>
    <w:p>
      <w:pPr>
        <w:ind w:left="500" w:hanging="499"/>
        <w:spacing w:after="0" w:line="285" w:lineRule="auto"/>
        <w:tabs>
          <w:tab w:leader="none" w:pos="500" w:val="left"/>
        </w:tabs>
        <w:numPr>
          <w:ilvl w:val="0"/>
          <w:numId w:val="57"/>
        </w:numPr>
        <w:rPr>
          <w:rFonts w:ascii="Arial" w:cs="Arial" w:eastAsia="Arial" w:hAnsi="Arial"/>
          <w:sz w:val="16"/>
          <w:szCs w:val="16"/>
          <w:color w:val="5668B0"/>
        </w:rPr>
      </w:pPr>
      <w:r>
        <w:rPr>
          <w:rFonts w:ascii="Arial" w:cs="Arial" w:eastAsia="Arial" w:hAnsi="Arial"/>
          <w:sz w:val="16"/>
          <w:szCs w:val="16"/>
          <w:i w:val="1"/>
          <w:iCs w:val="1"/>
          <w:color w:val="auto"/>
        </w:rPr>
        <w:t xml:space="preserve">46% growth in our total revenues </w:t>
      </w:r>
      <w:r>
        <w:rPr>
          <w:rFonts w:ascii="Arial" w:cs="Arial" w:eastAsia="Arial" w:hAnsi="Arial"/>
          <w:sz w:val="16"/>
          <w:szCs w:val="16"/>
          <w:color w:val="auto"/>
        </w:rPr>
        <w:t>as compared to 2014, from</w:t>
      </w:r>
      <w:r>
        <w:rPr>
          <w:rFonts w:ascii="Arial" w:cs="Arial" w:eastAsia="Arial" w:hAnsi="Arial"/>
          <w:sz w:val="16"/>
          <w:szCs w:val="16"/>
          <w:i w:val="1"/>
          <w:iCs w:val="1"/>
          <w:color w:val="auto"/>
        </w:rPr>
        <w:t xml:space="preserve"> </w:t>
      </w:r>
      <w:r>
        <w:rPr>
          <w:rFonts w:ascii="Arial" w:cs="Arial" w:eastAsia="Arial" w:hAnsi="Arial"/>
          <w:sz w:val="16"/>
          <w:szCs w:val="16"/>
          <w:color w:val="auto"/>
        </w:rPr>
        <w:t>$2.820 billion to $4.104 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both"/>
        <w:ind w:left="503" w:hanging="503"/>
        <w:spacing w:after="0" w:line="255" w:lineRule="auto"/>
        <w:tabs>
          <w:tab w:leader="none" w:pos="503" w:val="left"/>
        </w:tabs>
        <w:numPr>
          <w:ilvl w:val="0"/>
          <w:numId w:val="58"/>
        </w:numPr>
        <w:rPr>
          <w:rFonts w:ascii="Arial" w:cs="Arial" w:eastAsia="Arial" w:hAnsi="Arial"/>
          <w:sz w:val="16"/>
          <w:szCs w:val="16"/>
          <w:color w:val="5668B0"/>
        </w:rPr>
      </w:pPr>
      <w:r>
        <w:rPr>
          <w:rFonts w:ascii="Arial" w:cs="Arial" w:eastAsia="Arial" w:hAnsi="Arial"/>
          <w:sz w:val="16"/>
          <w:szCs w:val="16"/>
          <w:i w:val="1"/>
          <w:iCs w:val="1"/>
          <w:color w:val="auto"/>
        </w:rPr>
        <w:t xml:space="preserve">19% growth in non-GAAP net income </w:t>
      </w:r>
      <w:r>
        <w:rPr>
          <w:rFonts w:ascii="Arial" w:cs="Arial" w:eastAsia="Arial" w:hAnsi="Arial"/>
          <w:sz w:val="16"/>
          <w:szCs w:val="16"/>
          <w:color w:val="auto"/>
        </w:rPr>
        <w:t>as compared to 2014, from</w:t>
      </w:r>
      <w:r>
        <w:rPr>
          <w:rFonts w:ascii="Arial" w:cs="Arial" w:eastAsia="Arial" w:hAnsi="Arial"/>
          <w:sz w:val="16"/>
          <w:szCs w:val="16"/>
          <w:i w:val="1"/>
          <w:iCs w:val="1"/>
          <w:color w:val="auto"/>
        </w:rPr>
        <w:t xml:space="preserve"> </w:t>
      </w:r>
      <w:r>
        <w:rPr>
          <w:rFonts w:ascii="Arial" w:cs="Arial" w:eastAsia="Arial" w:hAnsi="Arial"/>
          <w:sz w:val="16"/>
          <w:szCs w:val="16"/>
          <w:color w:val="auto"/>
        </w:rPr>
        <w:t>$1.175 billion to $1.404 billion. (Non-GAAP net income is not a measure calculated in accordance with U.S. Generally Accepted Accounting Principles. See Appendix A for a definition of non-GAAP net income and a reconciliation of non-GAAP net income to net income.)</w:t>
      </w:r>
    </w:p>
    <w:p>
      <w:pPr>
        <w:spacing w:after="0" w:line="168" w:lineRule="exact"/>
        <w:rPr>
          <w:rFonts w:ascii="Arial" w:cs="Arial" w:eastAsia="Arial" w:hAnsi="Arial"/>
          <w:sz w:val="16"/>
          <w:szCs w:val="16"/>
          <w:color w:val="5668B0"/>
        </w:rPr>
      </w:pPr>
    </w:p>
    <w:p>
      <w:pPr>
        <w:ind w:left="503" w:hanging="503"/>
        <w:spacing w:after="0"/>
        <w:tabs>
          <w:tab w:leader="none" w:pos="503" w:val="left"/>
        </w:tabs>
        <w:numPr>
          <w:ilvl w:val="0"/>
          <w:numId w:val="58"/>
        </w:numPr>
        <w:rPr>
          <w:rFonts w:ascii="Arial" w:cs="Arial" w:eastAsia="Arial" w:hAnsi="Arial"/>
          <w:sz w:val="16"/>
          <w:szCs w:val="16"/>
          <w:color w:val="5668B0"/>
        </w:rPr>
      </w:pPr>
      <w:r>
        <w:rPr>
          <w:rFonts w:ascii="Arial" w:cs="Arial" w:eastAsia="Arial" w:hAnsi="Arial"/>
          <w:sz w:val="16"/>
          <w:szCs w:val="16"/>
          <w:i w:val="1"/>
          <w:iCs w:val="1"/>
          <w:color w:val="auto"/>
        </w:rPr>
        <w:t>Advances in our EYLEA® franchise</w:t>
      </w:r>
      <w:r>
        <w:rPr>
          <w:rFonts w:ascii="Arial" w:cs="Arial" w:eastAsia="Arial" w:hAnsi="Arial"/>
          <w:sz w:val="16"/>
          <w:szCs w:val="16"/>
          <w:color w:val="auto"/>
        </w:rPr>
        <w:t>, including:</w:t>
      </w:r>
    </w:p>
    <w:p>
      <w:pPr>
        <w:spacing w:after="0" w:line="200" w:lineRule="exact"/>
        <w:rPr>
          <w:sz w:val="20"/>
          <w:szCs w:val="20"/>
          <w:color w:val="auto"/>
        </w:rPr>
      </w:pPr>
    </w:p>
    <w:p>
      <w:pPr>
        <w:spacing w:after="0" w:line="214" w:lineRule="exact"/>
        <w:rPr>
          <w:sz w:val="20"/>
          <w:szCs w:val="20"/>
          <w:color w:val="auto"/>
        </w:rPr>
      </w:pPr>
    </w:p>
    <w:p>
      <w:pPr>
        <w:jc w:val="both"/>
        <w:ind w:left="1523" w:hanging="511"/>
        <w:spacing w:after="0" w:line="220" w:lineRule="auto"/>
        <w:tabs>
          <w:tab w:leader="none" w:pos="1523" w:val="left"/>
        </w:tabs>
        <w:numPr>
          <w:ilvl w:val="1"/>
          <w:numId w:val="59"/>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Regulatory approval of EYLEA® for the treatment of visual impairment due to macular edema secondary to retinal vein occlusion and the treatment of visual impairment secondary to myopic choroidal neovascularization in the European Union;</w:t>
      </w:r>
    </w:p>
    <w:p>
      <w:pPr>
        <w:spacing w:after="0" w:line="183" w:lineRule="exact"/>
        <w:rPr>
          <w:rFonts w:ascii="Courier New" w:cs="Courier New" w:eastAsia="Courier New" w:hAnsi="Courier New"/>
          <w:sz w:val="27"/>
          <w:szCs w:val="27"/>
          <w:b w:val="1"/>
          <w:bCs w:val="1"/>
          <w:color w:val="5668B0"/>
          <w:vertAlign w:val="superscript"/>
        </w:rPr>
      </w:pPr>
    </w:p>
    <w:p>
      <w:pPr>
        <w:jc w:val="both"/>
        <w:ind w:left="1523" w:hanging="511"/>
        <w:spacing w:after="0" w:line="205" w:lineRule="auto"/>
        <w:tabs>
          <w:tab w:leader="none" w:pos="1523" w:val="left"/>
        </w:tabs>
        <w:numPr>
          <w:ilvl w:val="1"/>
          <w:numId w:val="59"/>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Regulatory approval of EYLEA® for the treatment of diabetic retinopathy in patients with diabetic macular edema in the United States; and</w:t>
      </w:r>
    </w:p>
    <w:p>
      <w:pPr>
        <w:spacing w:after="0" w:line="183" w:lineRule="exact"/>
        <w:rPr>
          <w:rFonts w:ascii="Courier New" w:cs="Courier New" w:eastAsia="Courier New" w:hAnsi="Courier New"/>
          <w:sz w:val="27"/>
          <w:szCs w:val="27"/>
          <w:b w:val="1"/>
          <w:bCs w:val="1"/>
          <w:color w:val="5668B0"/>
          <w:vertAlign w:val="superscript"/>
        </w:rPr>
      </w:pPr>
    </w:p>
    <w:p>
      <w:pPr>
        <w:ind w:left="1523" w:hanging="511"/>
        <w:spacing w:after="0" w:line="189" w:lineRule="auto"/>
        <w:tabs>
          <w:tab w:leader="none" w:pos="1523" w:val="left"/>
        </w:tabs>
        <w:numPr>
          <w:ilvl w:val="1"/>
          <w:numId w:val="59"/>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Regulatory approval of EYLEA® for the treatment of retinal vein occlusion in Japan.</w:t>
      </w:r>
    </w:p>
    <w:p>
      <w:pPr>
        <w:spacing w:after="0" w:line="370" w:lineRule="exact"/>
        <w:rPr>
          <w:rFonts w:ascii="Courier New" w:cs="Courier New" w:eastAsia="Courier New" w:hAnsi="Courier New"/>
          <w:sz w:val="27"/>
          <w:szCs w:val="27"/>
          <w:b w:val="1"/>
          <w:bCs w:val="1"/>
          <w:color w:val="5668B0"/>
          <w:vertAlign w:val="superscript"/>
        </w:rPr>
      </w:pPr>
    </w:p>
    <w:p>
      <w:pPr>
        <w:jc w:val="both"/>
        <w:ind w:left="503" w:hanging="503"/>
        <w:spacing w:after="0" w:line="266" w:lineRule="auto"/>
        <w:tabs>
          <w:tab w:leader="none" w:pos="503" w:val="left"/>
        </w:tabs>
        <w:numPr>
          <w:ilvl w:val="0"/>
          <w:numId w:val="59"/>
        </w:numPr>
        <w:rPr>
          <w:rFonts w:ascii="Arial" w:cs="Arial" w:eastAsia="Arial" w:hAnsi="Arial"/>
          <w:sz w:val="16"/>
          <w:szCs w:val="16"/>
          <w:color w:val="5668B0"/>
        </w:rPr>
      </w:pPr>
      <w:r>
        <w:rPr>
          <w:rFonts w:ascii="Arial" w:cs="Arial" w:eastAsia="Arial" w:hAnsi="Arial"/>
          <w:sz w:val="16"/>
          <w:szCs w:val="16"/>
          <w:i w:val="1"/>
          <w:iCs w:val="1"/>
          <w:color w:val="auto"/>
        </w:rPr>
        <w:t>Regulatory approval and launch of Praluent® (alirocumab) Injection</w:t>
      </w:r>
      <w:r>
        <w:rPr>
          <w:rFonts w:ascii="Arial" w:cs="Arial" w:eastAsia="Arial" w:hAnsi="Arial"/>
          <w:sz w:val="16"/>
          <w:szCs w:val="16"/>
          <w:color w:val="auto"/>
        </w:rPr>
        <w:t>, the first FDA-approved drug in a new class of drugs that</w:t>
      </w:r>
      <w:r>
        <w:rPr>
          <w:rFonts w:ascii="Arial" w:cs="Arial" w:eastAsia="Arial" w:hAnsi="Arial"/>
          <w:sz w:val="16"/>
          <w:szCs w:val="16"/>
          <w:i w:val="1"/>
          <w:iCs w:val="1"/>
          <w:color w:val="auto"/>
        </w:rPr>
        <w:t xml:space="preserve"> </w:t>
      </w:r>
      <w:r>
        <w:rPr>
          <w:rFonts w:ascii="Arial" w:cs="Arial" w:eastAsia="Arial" w:hAnsi="Arial"/>
          <w:sz w:val="16"/>
          <w:szCs w:val="16"/>
          <w:color w:val="auto"/>
        </w:rPr>
        <w:t>lower LDL ("bad") cholesterol.</w:t>
      </w:r>
    </w:p>
    <w:p>
      <w:pPr>
        <w:spacing w:after="0" w:line="200"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35</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500" w:right="20" w:hanging="499"/>
        <w:spacing w:after="0" w:line="266" w:lineRule="auto"/>
        <w:tabs>
          <w:tab w:leader="none" w:pos="500" w:val="left"/>
        </w:tabs>
        <w:numPr>
          <w:ilvl w:val="0"/>
          <w:numId w:val="60"/>
        </w:numPr>
        <w:rPr>
          <w:rFonts w:ascii="Arial" w:cs="Arial" w:eastAsia="Arial" w:hAnsi="Arial"/>
          <w:sz w:val="16"/>
          <w:szCs w:val="16"/>
          <w:color w:val="5668B0"/>
        </w:rPr>
      </w:pPr>
      <w:r>
        <w:rPr>
          <w:rFonts w:ascii="Arial" w:cs="Arial" w:eastAsia="Arial" w:hAnsi="Arial"/>
          <w:sz w:val="16"/>
          <w:szCs w:val="16"/>
          <w:i w:val="1"/>
          <w:iCs w:val="1"/>
          <w:color w:val="auto"/>
        </w:rPr>
        <w:t>Completion of enrollment in the Praluent® ODYSSEY OUTCOMES trial</w:t>
      </w:r>
      <w:r>
        <w:rPr>
          <w:rFonts w:ascii="Arial" w:cs="Arial" w:eastAsia="Arial" w:hAnsi="Arial"/>
          <w:sz w:val="16"/>
          <w:szCs w:val="16"/>
          <w:color w:val="auto"/>
        </w:rPr>
        <w:t>, an 18,000-patient study prospectively assessing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potential of Praluent® to demonstrate cardiovascular benefit.</w:t>
      </w:r>
    </w:p>
    <w:p>
      <w:pPr>
        <w:spacing w:after="0" w:line="160" w:lineRule="exact"/>
        <w:rPr>
          <w:rFonts w:ascii="Arial" w:cs="Arial" w:eastAsia="Arial" w:hAnsi="Arial"/>
          <w:sz w:val="16"/>
          <w:szCs w:val="16"/>
          <w:color w:val="5668B0"/>
        </w:rPr>
      </w:pPr>
    </w:p>
    <w:p>
      <w:pPr>
        <w:jc w:val="both"/>
        <w:ind w:left="500" w:hanging="499"/>
        <w:spacing w:after="0" w:line="255" w:lineRule="auto"/>
        <w:tabs>
          <w:tab w:leader="none" w:pos="500" w:val="left"/>
        </w:tabs>
        <w:numPr>
          <w:ilvl w:val="0"/>
          <w:numId w:val="60"/>
        </w:numPr>
        <w:rPr>
          <w:rFonts w:ascii="Arial" w:cs="Arial" w:eastAsia="Arial" w:hAnsi="Arial"/>
          <w:sz w:val="16"/>
          <w:szCs w:val="16"/>
          <w:color w:val="5668B0"/>
        </w:rPr>
      </w:pPr>
      <w:r>
        <w:rPr>
          <w:rFonts w:ascii="Arial" w:cs="Arial" w:eastAsia="Arial" w:hAnsi="Arial"/>
          <w:sz w:val="16"/>
          <w:szCs w:val="16"/>
          <w:i w:val="1"/>
          <w:iCs w:val="1"/>
          <w:color w:val="auto"/>
        </w:rPr>
        <w:t>Further advances in our late-stage clinical pipeline</w:t>
      </w:r>
      <w:r>
        <w:rPr>
          <w:rFonts w:ascii="Arial" w:cs="Arial" w:eastAsia="Arial" w:hAnsi="Arial"/>
          <w:sz w:val="16"/>
          <w:szCs w:val="16"/>
          <w:color w:val="auto"/>
        </w:rPr>
        <w:t>, which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sarilumab, an IL-6 receptor antibody for rheumatoid arthritis; dupilumab, an IL-4 receptor-alpha antibody for allergic diseases; fasinumab, an antibody to nerve growth factor (NGF); and REGN2222, an antibody to the Respiratory Syncytial Virus-F (RSV-F) protein:</w:t>
      </w:r>
    </w:p>
    <w:p>
      <w:pPr>
        <w:spacing w:after="0" w:line="374" w:lineRule="exact"/>
        <w:rPr>
          <w:sz w:val="20"/>
          <w:szCs w:val="20"/>
          <w:color w:val="auto"/>
        </w:rPr>
      </w:pPr>
    </w:p>
    <w:p>
      <w:pPr>
        <w:jc w:val="both"/>
        <w:ind w:left="1520" w:right="20" w:hanging="507"/>
        <w:spacing w:after="0" w:line="220" w:lineRule="auto"/>
        <w:tabs>
          <w:tab w:leader="none" w:pos="1520" w:val="left"/>
        </w:tabs>
        <w:numPr>
          <w:ilvl w:val="1"/>
          <w:numId w:val="61"/>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Reported positive Phase 3 data for sarilumab from three Phase 3 studies in patients with rheumatoid arthritis (SARIL-RA-TARGET, SARIL-RA-EASY, and SARIL-RA-ASCERTAIN) and submitted a Biologics License Application for sarilumab with the FDA.</w:t>
      </w:r>
    </w:p>
    <w:p>
      <w:pPr>
        <w:spacing w:after="0" w:line="183" w:lineRule="exact"/>
        <w:rPr>
          <w:rFonts w:ascii="Courier New" w:cs="Courier New" w:eastAsia="Courier New" w:hAnsi="Courier New"/>
          <w:sz w:val="27"/>
          <w:szCs w:val="27"/>
          <w:b w:val="1"/>
          <w:bCs w:val="1"/>
          <w:color w:val="5668B0"/>
          <w:vertAlign w:val="superscript"/>
        </w:rPr>
      </w:pPr>
    </w:p>
    <w:p>
      <w:pPr>
        <w:jc w:val="both"/>
        <w:ind w:left="1520" w:right="20" w:hanging="507"/>
        <w:spacing w:after="0" w:line="205" w:lineRule="auto"/>
        <w:tabs>
          <w:tab w:leader="none" w:pos="1520" w:val="left"/>
        </w:tabs>
        <w:numPr>
          <w:ilvl w:val="1"/>
          <w:numId w:val="61"/>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Reported positive pivotal Phase 2b data for dupilumab in asthma and completed enrollment of the dupilumab atopic dermatitis Phase 3 studies.</w:t>
      </w:r>
    </w:p>
    <w:p>
      <w:pPr>
        <w:spacing w:after="0" w:line="183" w:lineRule="exact"/>
        <w:rPr>
          <w:rFonts w:ascii="Courier New" w:cs="Courier New" w:eastAsia="Courier New" w:hAnsi="Courier New"/>
          <w:sz w:val="27"/>
          <w:szCs w:val="27"/>
          <w:b w:val="1"/>
          <w:bCs w:val="1"/>
          <w:color w:val="5668B0"/>
          <w:vertAlign w:val="superscript"/>
        </w:rPr>
      </w:pPr>
    </w:p>
    <w:p>
      <w:pPr>
        <w:jc w:val="both"/>
        <w:ind w:left="1520" w:right="20" w:hanging="507"/>
        <w:spacing w:after="0" w:line="214" w:lineRule="auto"/>
        <w:tabs>
          <w:tab w:leader="none" w:pos="1520" w:val="left"/>
        </w:tabs>
        <w:numPr>
          <w:ilvl w:val="1"/>
          <w:numId w:val="61"/>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Entered into a collaboration agreement relating to fasinumab with Mitsubishi Tanabe Pharma Corporation for Japan, Korea, and nine other Asian countries, excluding China.</w:t>
      </w:r>
    </w:p>
    <w:p>
      <w:pPr>
        <w:spacing w:after="0" w:line="184" w:lineRule="exact"/>
        <w:rPr>
          <w:rFonts w:ascii="Courier New" w:cs="Courier New" w:eastAsia="Courier New" w:hAnsi="Courier New"/>
          <w:sz w:val="27"/>
          <w:szCs w:val="27"/>
          <w:b w:val="1"/>
          <w:bCs w:val="1"/>
          <w:color w:val="5668B0"/>
          <w:vertAlign w:val="superscript"/>
        </w:rPr>
      </w:pPr>
    </w:p>
    <w:p>
      <w:pPr>
        <w:ind w:left="1520" w:hanging="507"/>
        <w:spacing w:after="0" w:line="189" w:lineRule="auto"/>
        <w:tabs>
          <w:tab w:leader="none" w:pos="1520" w:val="left"/>
        </w:tabs>
        <w:numPr>
          <w:ilvl w:val="1"/>
          <w:numId w:val="61"/>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Initiated a Phase 3 clinical study of REGN2222 for Respiratory Syncytial Virus.</w:t>
      </w:r>
    </w:p>
    <w:p>
      <w:pPr>
        <w:spacing w:after="0" w:line="370" w:lineRule="exact"/>
        <w:rPr>
          <w:rFonts w:ascii="Courier New" w:cs="Courier New" w:eastAsia="Courier New" w:hAnsi="Courier New"/>
          <w:sz w:val="27"/>
          <w:szCs w:val="27"/>
          <w:b w:val="1"/>
          <w:bCs w:val="1"/>
          <w:color w:val="5668B0"/>
          <w:vertAlign w:val="superscript"/>
        </w:rPr>
      </w:pPr>
    </w:p>
    <w:p>
      <w:pPr>
        <w:jc w:val="both"/>
        <w:ind w:left="500" w:right="20" w:hanging="499"/>
        <w:spacing w:after="0" w:line="254" w:lineRule="auto"/>
        <w:tabs>
          <w:tab w:leader="none" w:pos="500" w:val="left"/>
        </w:tabs>
        <w:numPr>
          <w:ilvl w:val="0"/>
          <w:numId w:val="61"/>
        </w:numPr>
        <w:rPr>
          <w:rFonts w:ascii="Arial" w:cs="Arial" w:eastAsia="Arial" w:hAnsi="Arial"/>
          <w:sz w:val="16"/>
          <w:szCs w:val="16"/>
          <w:color w:val="5668B0"/>
        </w:rPr>
      </w:pPr>
      <w:r>
        <w:rPr>
          <w:rFonts w:ascii="Arial" w:cs="Arial" w:eastAsia="Arial" w:hAnsi="Arial"/>
          <w:sz w:val="16"/>
          <w:szCs w:val="16"/>
          <w:i w:val="1"/>
          <w:iCs w:val="1"/>
          <w:color w:val="auto"/>
        </w:rPr>
        <w:t>Continued growth of our clinical development pipeline</w:t>
      </w:r>
      <w:r>
        <w:rPr>
          <w:rFonts w:ascii="Arial" w:cs="Arial" w:eastAsia="Arial" w:hAnsi="Arial"/>
          <w:sz w:val="16"/>
          <w:szCs w:val="16"/>
          <w:color w:val="auto"/>
        </w:rPr>
        <w: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evidenced by the submission of one Investigational New Drug Application with the FDA in 2015 and 13 product candidates (consisting of one Trap-based and 12 fully-human monoclonal antibody product candidates based on the Company's </w:t>
      </w:r>
      <w:r>
        <w:rPr>
          <w:rFonts w:ascii="Arial" w:cs="Arial" w:eastAsia="Arial" w:hAnsi="Arial"/>
          <w:sz w:val="16"/>
          <w:szCs w:val="16"/>
          <w:i w:val="1"/>
          <w:iCs w:val="1"/>
          <w:color w:val="auto"/>
        </w:rPr>
        <w:t xml:space="preserve">VelocImmune® </w:t>
      </w:r>
      <w:r>
        <w:rPr>
          <w:rFonts w:ascii="Arial" w:cs="Arial" w:eastAsia="Arial" w:hAnsi="Arial"/>
          <w:sz w:val="16"/>
          <w:szCs w:val="16"/>
          <w:color w:val="auto"/>
        </w:rPr>
        <w:t>technology) in clinical development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w:t>
      </w:r>
    </w:p>
    <w:p>
      <w:pPr>
        <w:spacing w:after="0" w:line="350" w:lineRule="exact"/>
        <w:rPr>
          <w:rFonts w:ascii="Arial" w:cs="Arial" w:eastAsia="Arial" w:hAnsi="Arial"/>
          <w:sz w:val="16"/>
          <w:szCs w:val="16"/>
          <w:color w:val="5668B0"/>
        </w:rPr>
      </w:pPr>
    </w:p>
    <w:p>
      <w:pPr>
        <w:jc w:val="both"/>
        <w:ind w:left="500" w:hanging="499"/>
        <w:spacing w:after="0" w:line="266" w:lineRule="auto"/>
        <w:tabs>
          <w:tab w:leader="none" w:pos="500" w:val="left"/>
        </w:tabs>
        <w:numPr>
          <w:ilvl w:val="0"/>
          <w:numId w:val="61"/>
        </w:numPr>
        <w:rPr>
          <w:rFonts w:ascii="Arial" w:cs="Arial" w:eastAsia="Arial" w:hAnsi="Arial"/>
          <w:sz w:val="16"/>
          <w:szCs w:val="16"/>
          <w:color w:val="5668B0"/>
        </w:rPr>
      </w:pPr>
      <w:r>
        <w:rPr>
          <w:rFonts w:ascii="Arial" w:cs="Arial" w:eastAsia="Arial" w:hAnsi="Arial"/>
          <w:sz w:val="16"/>
          <w:szCs w:val="16"/>
          <w:i w:val="1"/>
          <w:iCs w:val="1"/>
          <w:color w:val="auto"/>
        </w:rPr>
        <w:t>New global strategic collaboration with Sanofi to discover, develop, and commercialize antibody-based cancer treatments in the field of immuno-oncology.</w:t>
      </w:r>
    </w:p>
    <w:p>
      <w:pPr>
        <w:spacing w:after="0" w:line="160" w:lineRule="exact"/>
        <w:rPr>
          <w:rFonts w:ascii="Arial" w:cs="Arial" w:eastAsia="Arial" w:hAnsi="Arial"/>
          <w:sz w:val="16"/>
          <w:szCs w:val="16"/>
          <w:color w:val="5668B0"/>
        </w:rPr>
      </w:pPr>
    </w:p>
    <w:p>
      <w:pPr>
        <w:jc w:val="both"/>
        <w:ind w:left="500" w:right="20" w:hanging="499"/>
        <w:spacing w:after="0" w:line="253" w:lineRule="auto"/>
        <w:tabs>
          <w:tab w:leader="none" w:pos="500" w:val="left"/>
        </w:tabs>
        <w:numPr>
          <w:ilvl w:val="0"/>
          <w:numId w:val="61"/>
        </w:numPr>
        <w:rPr>
          <w:rFonts w:ascii="Arial" w:cs="Arial" w:eastAsia="Arial" w:hAnsi="Arial"/>
          <w:sz w:val="16"/>
          <w:szCs w:val="16"/>
          <w:color w:val="5668B0"/>
        </w:rPr>
      </w:pPr>
      <w:r>
        <w:rPr>
          <w:rFonts w:ascii="Arial" w:cs="Arial" w:eastAsia="Arial" w:hAnsi="Arial"/>
          <w:sz w:val="16"/>
          <w:szCs w:val="16"/>
          <w:i w:val="1"/>
          <w:iCs w:val="1"/>
          <w:color w:val="auto"/>
        </w:rPr>
        <w:t>Further important steps to support our current and future growth</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adding two new buildings in the Tarrytown campus providing nearly 300,000 square feet of additional laboratory and office space; significant progress with the construction of a new manufacturing facility in Limerick, Ireland; and increasing headcount on a year-over-year basis by approximately 47%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8" w:lineRule="exact"/>
        <w:rPr>
          <w:sz w:val="20"/>
          <w:szCs w:val="20"/>
          <w:color w:val="auto"/>
        </w:rPr>
      </w:pPr>
    </w:p>
    <w:p>
      <w:pPr>
        <w:ind w:left="1160" w:hanging="744"/>
        <w:spacing w:after="0"/>
        <w:tabs>
          <w:tab w:leader="none" w:pos="1160" w:val="left"/>
        </w:tabs>
        <w:numPr>
          <w:ilvl w:val="0"/>
          <w:numId w:val="6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503" w:hanging="503"/>
        <w:spacing w:after="0" w:line="254" w:lineRule="auto"/>
        <w:tabs>
          <w:tab w:leader="none" w:pos="503"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Further progress of Regeneron Genetics Center. </w:t>
      </w:r>
      <w:r>
        <w:rPr>
          <w:rFonts w:ascii="Arial" w:cs="Arial" w:eastAsia="Arial" w:hAnsi="Arial"/>
          <w:sz w:val="16"/>
          <w:szCs w:val="16"/>
          <w:color w:val="auto"/>
        </w:rPr>
        <w:t>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the Regeneron Genetics Center expanded on its foundational population-based collaboration with Geisinger Health Systems with over a dozen collaborations with academic institutions, government entities, and health systems, and had achieved the ability to sequence exomes at the rate of 100,000 per year.</w:t>
      </w:r>
    </w:p>
    <w:p>
      <w:pPr>
        <w:spacing w:after="0" w:line="362" w:lineRule="exact"/>
        <w:rPr>
          <w:rFonts w:ascii="Arial" w:cs="Arial" w:eastAsia="Arial" w:hAnsi="Arial"/>
          <w:sz w:val="16"/>
          <w:szCs w:val="16"/>
          <w:color w:val="auto"/>
        </w:rPr>
      </w:pPr>
    </w:p>
    <w:p>
      <w:pPr>
        <w:jc w:val="both"/>
        <w:ind w:left="503" w:hanging="503"/>
        <w:spacing w:after="0" w:line="256" w:lineRule="auto"/>
        <w:tabs>
          <w:tab w:leader="none" w:pos="503" w:val="left"/>
        </w:tabs>
        <w:numPr>
          <w:ilvl w:val="0"/>
          <w:numId w:val="63"/>
        </w:numPr>
        <w:rPr>
          <w:rFonts w:ascii="Arial" w:cs="Arial" w:eastAsia="Arial" w:hAnsi="Arial"/>
          <w:sz w:val="16"/>
          <w:szCs w:val="16"/>
          <w:color w:val="5668B0"/>
        </w:rPr>
      </w:pPr>
      <w:r>
        <w:rPr>
          <w:rFonts w:ascii="Arial" w:cs="Arial" w:eastAsia="Arial" w:hAnsi="Arial"/>
          <w:sz w:val="16"/>
          <w:szCs w:val="16"/>
          <w:i w:val="1"/>
          <w:iCs w:val="1"/>
          <w:color w:val="auto"/>
        </w:rPr>
        <w:t xml:space="preserve">Collaboration agreement with the Biomedical Advanced Research and Development Authority (BARDA) </w:t>
      </w:r>
      <w:r>
        <w:rPr>
          <w:rFonts w:ascii="Arial" w:cs="Arial" w:eastAsia="Arial" w:hAnsi="Arial"/>
          <w:sz w:val="16"/>
          <w:szCs w:val="16"/>
          <w:color w:val="auto"/>
        </w:rPr>
        <w:t>of the U.S.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Health and Human Services to develop, test, and manufacture a monoclonal antibody therapy for the treatment of Ebola virus infection.</w:t>
      </w:r>
    </w:p>
    <w:p>
      <w:pPr>
        <w:spacing w:after="0" w:line="157" w:lineRule="exact"/>
        <w:rPr>
          <w:rFonts w:ascii="Arial" w:cs="Arial" w:eastAsia="Arial" w:hAnsi="Arial"/>
          <w:sz w:val="16"/>
          <w:szCs w:val="16"/>
          <w:color w:val="5668B0"/>
        </w:rPr>
      </w:pPr>
    </w:p>
    <w:p>
      <w:pPr>
        <w:jc w:val="both"/>
        <w:ind w:left="503" w:hanging="503"/>
        <w:spacing w:after="0" w:line="258" w:lineRule="auto"/>
        <w:tabs>
          <w:tab w:leader="none" w:pos="503" w:val="left"/>
        </w:tabs>
        <w:numPr>
          <w:ilvl w:val="0"/>
          <w:numId w:val="63"/>
        </w:numPr>
        <w:rPr>
          <w:rFonts w:ascii="Arial" w:cs="Arial" w:eastAsia="Arial" w:hAnsi="Arial"/>
          <w:sz w:val="16"/>
          <w:szCs w:val="16"/>
          <w:color w:val="5668B0"/>
        </w:rPr>
      </w:pPr>
      <w:r>
        <w:rPr>
          <w:rFonts w:ascii="Arial" w:cs="Arial" w:eastAsia="Arial" w:hAnsi="Arial"/>
          <w:sz w:val="16"/>
          <w:szCs w:val="16"/>
          <w:i w:val="1"/>
          <w:iCs w:val="1"/>
          <w:color w:val="auto"/>
        </w:rPr>
        <w:t xml:space="preserve">Named one of the two top employers </w:t>
      </w:r>
      <w:r>
        <w:rPr>
          <w:rFonts w:ascii="Arial" w:cs="Arial" w:eastAsia="Arial" w:hAnsi="Arial"/>
          <w:sz w:val="16"/>
          <w:szCs w:val="16"/>
          <w:color w:val="auto"/>
        </w:rPr>
        <w:t>in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biopharmaceutical industry by </w:t>
      </w:r>
      <w:r>
        <w:rPr>
          <w:rFonts w:ascii="Arial" w:cs="Arial" w:eastAsia="Arial" w:hAnsi="Arial"/>
          <w:sz w:val="16"/>
          <w:szCs w:val="16"/>
          <w:i w:val="1"/>
          <w:iCs w:val="1"/>
          <w:color w:val="auto"/>
        </w:rPr>
        <w:t>Science Magazine</w:t>
      </w:r>
      <w:r>
        <w:rPr>
          <w:rFonts w:ascii="Arial" w:cs="Arial" w:eastAsia="Arial" w:hAnsi="Arial"/>
          <w:sz w:val="16"/>
          <w:szCs w:val="16"/>
          <w:color w:val="auto"/>
        </w:rPr>
        <w:t xml:space="preserve"> for the fifth consecutive year, the fourth most innovative company in the world by </w:t>
      </w:r>
      <w:r>
        <w:rPr>
          <w:rFonts w:ascii="Arial" w:cs="Arial" w:eastAsia="Arial" w:hAnsi="Arial"/>
          <w:sz w:val="16"/>
          <w:szCs w:val="16"/>
          <w:i w:val="1"/>
          <w:iCs w:val="1"/>
          <w:color w:val="auto"/>
        </w:rPr>
        <w:t>Forbes</w:t>
      </w:r>
      <w:r>
        <w:rPr>
          <w:rFonts w:ascii="Arial" w:cs="Arial" w:eastAsia="Arial" w:hAnsi="Arial"/>
          <w:sz w:val="16"/>
          <w:szCs w:val="16"/>
          <w:color w:val="auto"/>
        </w:rPr>
        <w:t xml:space="preserve">, and one of </w:t>
      </w:r>
      <w:r>
        <w:rPr>
          <w:rFonts w:ascii="Arial" w:cs="Arial" w:eastAsia="Arial" w:hAnsi="Arial"/>
          <w:sz w:val="16"/>
          <w:szCs w:val="16"/>
          <w:i w:val="1"/>
          <w:iCs w:val="1"/>
          <w:color w:val="auto"/>
        </w:rPr>
        <w:t>Fortune Magazine's</w:t>
      </w:r>
      <w:r>
        <w:rPr>
          <w:rFonts w:ascii="Arial" w:cs="Arial" w:eastAsia="Arial" w:hAnsi="Arial"/>
          <w:sz w:val="16"/>
          <w:szCs w:val="16"/>
          <w:color w:val="auto"/>
        </w:rPr>
        <w:t xml:space="preserve"> 100 best places to work.</w:t>
      </w:r>
    </w:p>
    <w:p>
      <w:pPr>
        <w:spacing w:after="0" w:line="376" w:lineRule="exact"/>
        <w:rPr>
          <w:sz w:val="20"/>
          <w:szCs w:val="20"/>
          <w:color w:val="auto"/>
        </w:rPr>
      </w:pPr>
    </w:p>
    <w:p>
      <w:pPr>
        <w:jc w:val="both"/>
        <w:ind w:left="3"/>
        <w:spacing w:after="0" w:line="229" w:lineRule="auto"/>
        <w:rPr>
          <w:sz w:val="20"/>
          <w:szCs w:val="20"/>
          <w:color w:val="auto"/>
        </w:rPr>
      </w:pPr>
      <w:r>
        <w:rPr>
          <w:rFonts w:ascii="Arial" w:cs="Arial" w:eastAsia="Arial" w:hAnsi="Arial"/>
          <w:sz w:val="16"/>
          <w:szCs w:val="16"/>
          <w:color w:val="auto"/>
        </w:rPr>
        <w:t>These and other recent accomplishments have contributed to the creation of significant value for our shareholders. The Company's strong performance is reflected in the appreciation of our stock price, which increased 32%, 217%, and 1554% over the one-, three-, and five-year periods ended December 31, 2015, respectively. This shareholder return places our common stock performance in the 85</w:t>
      </w:r>
      <w:r>
        <w:rPr>
          <w:rFonts w:ascii="Arial" w:cs="Arial" w:eastAsia="Arial" w:hAnsi="Arial"/>
          <w:sz w:val="27"/>
          <w:szCs w:val="27"/>
          <w:color w:val="auto"/>
          <w:vertAlign w:val="superscript"/>
        </w:rPr>
        <w:t>th</w:t>
      </w:r>
      <w:r>
        <w:rPr>
          <w:rFonts w:ascii="Arial" w:cs="Arial" w:eastAsia="Arial" w:hAnsi="Arial"/>
          <w:sz w:val="16"/>
          <w:szCs w:val="16"/>
          <w:color w:val="auto"/>
        </w:rPr>
        <w:t>, 90</w:t>
      </w:r>
      <w:r>
        <w:rPr>
          <w:rFonts w:ascii="Arial" w:cs="Arial" w:eastAsia="Arial" w:hAnsi="Arial"/>
          <w:sz w:val="27"/>
          <w:szCs w:val="27"/>
          <w:color w:val="auto"/>
          <w:vertAlign w:val="superscript"/>
        </w:rPr>
        <w:t>th</w:t>
      </w:r>
      <w:r>
        <w:rPr>
          <w:rFonts w:ascii="Arial" w:cs="Arial" w:eastAsia="Arial" w:hAnsi="Arial"/>
          <w:sz w:val="16"/>
          <w:szCs w:val="16"/>
          <w:color w:val="auto"/>
        </w:rPr>
        <w:t>, and</w:t>
      </w:r>
    </w:p>
    <w:p>
      <w:pPr>
        <w:spacing w:after="0" w:line="2" w:lineRule="exact"/>
        <w:rPr>
          <w:sz w:val="20"/>
          <w:szCs w:val="20"/>
          <w:color w:val="auto"/>
        </w:rPr>
      </w:pPr>
    </w:p>
    <w:p>
      <w:pPr>
        <w:jc w:val="both"/>
        <w:ind w:left="3"/>
        <w:spacing w:after="0" w:line="202" w:lineRule="auto"/>
        <w:rPr>
          <w:sz w:val="20"/>
          <w:szCs w:val="20"/>
          <w:color w:val="auto"/>
        </w:rPr>
      </w:pPr>
      <w:r>
        <w:rPr>
          <w:rFonts w:ascii="Arial" w:cs="Arial" w:eastAsia="Arial" w:hAnsi="Arial"/>
          <w:sz w:val="16"/>
          <w:szCs w:val="16"/>
          <w:color w:val="auto"/>
        </w:rPr>
        <w:t>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respectively, of all NASDAQ-listed companies with a market capitalization greater than $5 billion in those periods. In addition,</w:t>
      </w:r>
    </w:p>
    <w:p>
      <w:pPr>
        <w:spacing w:after="0" w:line="1" w:lineRule="exact"/>
        <w:rPr>
          <w:sz w:val="20"/>
          <w:szCs w:val="20"/>
          <w:color w:val="auto"/>
        </w:rPr>
      </w:pPr>
    </w:p>
    <w:p>
      <w:pPr>
        <w:jc w:val="both"/>
        <w:ind w:left="3"/>
        <w:spacing w:after="0" w:line="230" w:lineRule="auto"/>
        <w:rPr>
          <w:sz w:val="20"/>
          <w:szCs w:val="20"/>
          <w:color w:val="auto"/>
        </w:rPr>
      </w:pPr>
      <w:r>
        <w:rPr>
          <w:rFonts w:ascii="Arial" w:cs="Arial" w:eastAsia="Arial" w:hAnsi="Arial"/>
          <w:sz w:val="16"/>
          <w:szCs w:val="16"/>
          <w:color w:val="auto"/>
        </w:rPr>
        <w:t>our common stock was the 3</w:t>
      </w:r>
      <w:r>
        <w:rPr>
          <w:rFonts w:ascii="Arial" w:cs="Arial" w:eastAsia="Arial" w:hAnsi="Arial"/>
          <w:sz w:val="27"/>
          <w:szCs w:val="27"/>
          <w:color w:val="auto"/>
          <w:vertAlign w:val="superscript"/>
        </w:rPr>
        <w:t>rd</w:t>
      </w:r>
      <w:r>
        <w:rPr>
          <w:rFonts w:ascii="Arial" w:cs="Arial" w:eastAsia="Arial" w:hAnsi="Arial"/>
          <w:sz w:val="16"/>
          <w:szCs w:val="16"/>
          <w:color w:val="auto"/>
        </w:rPr>
        <w:t>, 4</w:t>
      </w:r>
      <w:r>
        <w:rPr>
          <w:rFonts w:ascii="Arial" w:cs="Arial" w:eastAsia="Arial" w:hAnsi="Arial"/>
          <w:sz w:val="27"/>
          <w:szCs w:val="27"/>
          <w:color w:val="auto"/>
          <w:vertAlign w:val="superscript"/>
        </w:rPr>
        <w:t>th</w:t>
      </w:r>
      <w:r>
        <w:rPr>
          <w:rFonts w:ascii="Arial" w:cs="Arial" w:eastAsia="Arial" w:hAnsi="Arial"/>
          <w:sz w:val="16"/>
          <w:szCs w:val="16"/>
          <w:color w:val="auto"/>
        </w:rPr>
        <w:t>, and top performing stock in our Peer Group, discussed further in this Compensation Discussion and Analysis section, over the one-, three-, and five-year periods ended December 31, 2015. See "Section 3 – Executive Compensation Process and Considerations – Peer Group" for the definition of our Peer Group and our Biotech R&amp;D Peers.</w:t>
      </w:r>
    </w:p>
    <w:p>
      <w:pPr>
        <w:spacing w:after="0" w:line="200"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As illustrated by the chart below, our total shareholder return ("TSR") significantly outperformed both the S&amp;P 500 Index and the S&amp;P Biotechnology Select Industry Index over the past five years.</w:t>
      </w:r>
    </w:p>
    <w:p>
      <w:pPr>
        <w:sectPr>
          <w:pgSz w:w="11900" w:h="16838" w:orient="portrait"/>
          <w:cols w:equalWidth="0" w:num="2">
            <w:col w:w="5380" w:space="677"/>
            <w:col w:w="5363"/>
          </w:cols>
          <w:pgMar w:left="240" w:top="142"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Regeneron 5-Year TSR vs. S&amp;P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142875</wp:posOffset>
            </wp:positionV>
            <wp:extent cx="5495925" cy="2795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9592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TSR data reflect total returns (stock price appreciation and, if applicable, reinvested dividends).</w:t>
      </w:r>
    </w:p>
    <w:p>
      <w:pPr>
        <w:sectPr>
          <w:pgSz w:w="11900" w:h="16838" w:orient="portrait"/>
          <w:cols w:equalWidth="0" w:num="1">
            <w:col w:w="11420"/>
          </w:cols>
          <w:pgMar w:left="240" w:top="142" w:right="23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Compensation Objectives and Elements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the leadership of the current executive team has been instrumental to our success in 2015 and prior years, and that an executive compensation program that attracts, motivates, and helps retain key executives, including the Named Officers, is critical to our long-term success. Our executive compensation program is designed to achieve four main objectives:</w:t>
      </w:r>
    </w:p>
    <w:p>
      <w:pPr>
        <w:spacing w:after="0" w:line="191" w:lineRule="exact"/>
        <w:rPr>
          <w:sz w:val="20"/>
          <w:szCs w:val="20"/>
          <w:color w:val="auto"/>
        </w:rPr>
      </w:pPr>
    </w:p>
    <w:p>
      <w:pPr>
        <w:ind w:left="500" w:hanging="499"/>
        <w:spacing w:after="0"/>
        <w:tabs>
          <w:tab w:leader="none" w:pos="500" w:val="left"/>
        </w:tabs>
        <w:numPr>
          <w:ilvl w:val="0"/>
          <w:numId w:val="64"/>
        </w:numPr>
        <w:rPr>
          <w:rFonts w:ascii="Arial" w:cs="Arial" w:eastAsia="Arial" w:hAnsi="Arial"/>
          <w:sz w:val="16"/>
          <w:szCs w:val="16"/>
          <w:color w:val="5668B0"/>
        </w:rPr>
      </w:pPr>
      <w:r>
        <w:rPr>
          <w:rFonts w:ascii="Arial" w:cs="Arial" w:eastAsia="Arial" w:hAnsi="Arial"/>
          <w:sz w:val="16"/>
          <w:szCs w:val="16"/>
          <w:color w:val="auto"/>
        </w:rPr>
        <w:t>pay for performance;</w:t>
      </w:r>
    </w:p>
    <w:p>
      <w:pPr>
        <w:spacing w:after="0" w:line="208" w:lineRule="exact"/>
        <w:rPr>
          <w:rFonts w:ascii="Arial" w:cs="Arial" w:eastAsia="Arial" w:hAnsi="Arial"/>
          <w:sz w:val="16"/>
          <w:szCs w:val="16"/>
          <w:color w:val="5668B0"/>
        </w:rPr>
      </w:pPr>
    </w:p>
    <w:p>
      <w:pPr>
        <w:ind w:left="500" w:hanging="499"/>
        <w:spacing w:after="0"/>
        <w:tabs>
          <w:tab w:leader="none" w:pos="500" w:val="left"/>
        </w:tabs>
        <w:numPr>
          <w:ilvl w:val="0"/>
          <w:numId w:val="64"/>
        </w:numPr>
        <w:rPr>
          <w:rFonts w:ascii="Arial" w:cs="Arial" w:eastAsia="Arial" w:hAnsi="Arial"/>
          <w:sz w:val="16"/>
          <w:szCs w:val="16"/>
          <w:color w:val="5668B0"/>
        </w:rPr>
      </w:pPr>
      <w:r>
        <w:rPr>
          <w:rFonts w:ascii="Arial" w:cs="Arial" w:eastAsia="Arial" w:hAnsi="Arial"/>
          <w:sz w:val="16"/>
          <w:szCs w:val="16"/>
          <w:color w:val="auto"/>
        </w:rPr>
        <w:t>closely align the interests of shareholders and management;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503" w:hanging="503"/>
        <w:spacing w:after="0" w:line="264" w:lineRule="auto"/>
        <w:tabs>
          <w:tab w:leader="none" w:pos="503" w:val="left"/>
        </w:tabs>
        <w:numPr>
          <w:ilvl w:val="0"/>
          <w:numId w:val="65"/>
        </w:numPr>
        <w:rPr>
          <w:rFonts w:ascii="Arial" w:cs="Arial" w:eastAsia="Arial" w:hAnsi="Arial"/>
          <w:sz w:val="16"/>
          <w:szCs w:val="16"/>
          <w:color w:val="5668B0"/>
        </w:rPr>
      </w:pPr>
      <w:r>
        <w:rPr>
          <w:rFonts w:ascii="Arial" w:cs="Arial" w:eastAsia="Arial" w:hAnsi="Arial"/>
          <w:sz w:val="16"/>
          <w:szCs w:val="16"/>
          <w:color w:val="auto"/>
        </w:rPr>
        <w:t>strike a balance between short- and long-term perspectives and support our long-term growth prospects; and</w:t>
      </w:r>
    </w:p>
    <w:p>
      <w:pPr>
        <w:spacing w:after="0" w:line="177" w:lineRule="exact"/>
        <w:rPr>
          <w:rFonts w:ascii="Arial" w:cs="Arial" w:eastAsia="Arial" w:hAnsi="Arial"/>
          <w:sz w:val="16"/>
          <w:szCs w:val="16"/>
          <w:color w:val="5668B0"/>
        </w:rPr>
      </w:pPr>
    </w:p>
    <w:p>
      <w:pPr>
        <w:ind w:left="503" w:hanging="503"/>
        <w:spacing w:after="0" w:line="264" w:lineRule="auto"/>
        <w:tabs>
          <w:tab w:leader="none" w:pos="503" w:val="left"/>
        </w:tabs>
        <w:numPr>
          <w:ilvl w:val="0"/>
          <w:numId w:val="65"/>
        </w:numPr>
        <w:rPr>
          <w:rFonts w:ascii="Arial" w:cs="Arial" w:eastAsia="Arial" w:hAnsi="Arial"/>
          <w:sz w:val="16"/>
          <w:szCs w:val="16"/>
          <w:color w:val="5668B0"/>
        </w:rPr>
      </w:pPr>
      <w:r>
        <w:rPr>
          <w:rFonts w:ascii="Arial" w:cs="Arial" w:eastAsia="Arial" w:hAnsi="Arial"/>
          <w:sz w:val="16"/>
          <w:szCs w:val="16"/>
          <w:color w:val="auto"/>
        </w:rPr>
        <w:t>attract and retain highly skilled and talented executives in a competitive marketplace.</w:t>
      </w:r>
    </w:p>
    <w:p>
      <w:pPr>
        <w:spacing w:after="0" w:line="177"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To realize these objectives, we utilize five primary compensation elements, which are summarized in the table below and discussed in detail under "Section 4 – Elements of Executive Compensation":</w:t>
      </w:r>
    </w:p>
    <w:p>
      <w:pPr>
        <w:spacing w:after="0" w:line="759"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Pr>
          <w:p>
            <w:pPr>
              <w:spacing w:after="0"/>
              <w:rPr>
                <w:sz w:val="18"/>
                <w:szCs w:val="18"/>
                <w:color w:val="auto"/>
              </w:rPr>
            </w:pPr>
          </w:p>
        </w:tc>
        <w:tc>
          <w:tcPr>
            <w:tcW w:w="3860" w:type="dxa"/>
            <w:vAlign w:val="bottom"/>
            <w:shd w:val="clear" w:color="auto" w:fill="5668B0"/>
          </w:tcPr>
          <w:p>
            <w:pPr>
              <w:spacing w:after="0"/>
              <w:rPr>
                <w:sz w:val="18"/>
                <w:szCs w:val="18"/>
                <w:color w:val="auto"/>
              </w:rPr>
            </w:pPr>
          </w:p>
        </w:tc>
        <w:tc>
          <w:tcPr>
            <w:tcW w:w="1160" w:type="dxa"/>
            <w:vAlign w:val="bottom"/>
            <w:shd w:val="clear" w:color="auto" w:fill="5668B0"/>
          </w:tcPr>
          <w:p>
            <w:pPr>
              <w:spacing w:after="0"/>
              <w:rPr>
                <w:sz w:val="18"/>
                <w:szCs w:val="18"/>
                <w:color w:val="auto"/>
              </w:rPr>
            </w:pPr>
          </w:p>
        </w:tc>
        <w:tc>
          <w:tcPr>
            <w:tcW w:w="2400" w:type="dxa"/>
            <w:vAlign w:val="bottom"/>
            <w:gridSpan w:val="3"/>
            <w:shd w:val="clear" w:color="auto" w:fill="5668B0"/>
          </w:tcPr>
          <w:p>
            <w:pPr>
              <w:ind w:left="920"/>
              <w:spacing w:after="0"/>
              <w:rPr>
                <w:sz w:val="20"/>
                <w:szCs w:val="20"/>
                <w:color w:val="auto"/>
              </w:rPr>
            </w:pPr>
            <w:r>
              <w:rPr>
                <w:rFonts w:ascii="Arial" w:cs="Arial" w:eastAsia="Arial" w:hAnsi="Arial"/>
                <w:sz w:val="13"/>
                <w:szCs w:val="13"/>
                <w:color w:val="FFFFFE"/>
              </w:rPr>
              <w:t>Objective</w:t>
            </w:r>
          </w:p>
        </w:tc>
        <w:tc>
          <w:tcPr>
            <w:tcW w:w="1160" w:type="dxa"/>
            <w:vAlign w:val="bottom"/>
            <w:shd w:val="clear" w:color="auto" w:fill="5668B0"/>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63"/>
        </w:trPr>
        <w:tc>
          <w:tcPr>
            <w:tcW w:w="1360" w:type="dxa"/>
            <w:vAlign w:val="bottom"/>
          </w:tcPr>
          <w:p>
            <w:pPr>
              <w:spacing w:after="0"/>
              <w:rPr>
                <w:sz w:val="14"/>
                <w:szCs w:val="14"/>
                <w:color w:val="auto"/>
              </w:rPr>
            </w:pPr>
          </w:p>
        </w:tc>
        <w:tc>
          <w:tcPr>
            <w:tcW w:w="3860" w:type="dxa"/>
            <w:vAlign w:val="bottom"/>
            <w:shd w:val="clear" w:color="auto" w:fill="5668B0"/>
          </w:tcPr>
          <w:p>
            <w:pPr>
              <w:spacing w:after="0"/>
              <w:rPr>
                <w:sz w:val="14"/>
                <w:szCs w:val="14"/>
                <w:color w:val="auto"/>
              </w:rPr>
            </w:pPr>
          </w:p>
        </w:tc>
        <w:tc>
          <w:tcPr>
            <w:tcW w:w="1160" w:type="dxa"/>
            <w:vAlign w:val="bottom"/>
            <w:shd w:val="clear" w:color="auto" w:fill="5668B0"/>
          </w:tcPr>
          <w:p>
            <w:pPr>
              <w:spacing w:after="0"/>
              <w:rPr>
                <w:sz w:val="14"/>
                <w:szCs w:val="14"/>
                <w:color w:val="auto"/>
              </w:rPr>
            </w:pPr>
          </w:p>
        </w:tc>
        <w:tc>
          <w:tcPr>
            <w:tcW w:w="1160" w:type="dxa"/>
            <w:vAlign w:val="bottom"/>
            <w:shd w:val="clear" w:color="auto" w:fill="5668B0"/>
          </w:tcPr>
          <w:p>
            <w:pPr>
              <w:spacing w:after="0"/>
              <w:rPr>
                <w:sz w:val="14"/>
                <w:szCs w:val="14"/>
                <w:color w:val="auto"/>
              </w:rPr>
            </w:pPr>
          </w:p>
        </w:tc>
        <w:tc>
          <w:tcPr>
            <w:tcW w:w="240" w:type="dxa"/>
            <w:vAlign w:val="bottom"/>
            <w:tcBorders>
              <w:right w:val="single" w:sz="8" w:color="5668B0"/>
            </w:tcBorders>
            <w:shd w:val="clear" w:color="auto" w:fill="5668B0"/>
          </w:tcPr>
          <w:p>
            <w:pPr>
              <w:spacing w:after="0"/>
              <w:rPr>
                <w:sz w:val="14"/>
                <w:szCs w:val="14"/>
                <w:color w:val="auto"/>
              </w:rPr>
            </w:pPr>
          </w:p>
        </w:tc>
        <w:tc>
          <w:tcPr>
            <w:tcW w:w="1000" w:type="dxa"/>
            <w:vAlign w:val="bottom"/>
            <w:shd w:val="clear" w:color="auto" w:fill="5668B0"/>
          </w:tcPr>
          <w:p>
            <w:pPr>
              <w:jc w:val="center"/>
              <w:ind w:right="88"/>
              <w:spacing w:after="0"/>
              <w:rPr>
                <w:sz w:val="20"/>
                <w:szCs w:val="20"/>
                <w:color w:val="auto"/>
              </w:rPr>
            </w:pPr>
            <w:r>
              <w:rPr>
                <w:rFonts w:ascii="Arial" w:cs="Arial" w:eastAsia="Arial" w:hAnsi="Arial"/>
                <w:sz w:val="13"/>
                <w:szCs w:val="13"/>
                <w:color w:val="FFFFFE"/>
              </w:rPr>
              <w:t>Balance</w:t>
            </w:r>
          </w:p>
        </w:tc>
        <w:tc>
          <w:tcPr>
            <w:tcW w:w="1160" w:type="dxa"/>
            <w:vAlign w:val="bottom"/>
            <w:shd w:val="clear" w:color="auto" w:fill="5668B0"/>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1360" w:type="dxa"/>
            <w:vAlign w:val="bottom"/>
          </w:tcPr>
          <w:p>
            <w:pPr>
              <w:spacing w:after="0"/>
              <w:rPr>
                <w:sz w:val="13"/>
                <w:szCs w:val="13"/>
                <w:color w:val="auto"/>
              </w:rPr>
            </w:pPr>
          </w:p>
        </w:tc>
        <w:tc>
          <w:tcPr>
            <w:tcW w:w="3860" w:type="dxa"/>
            <w:vAlign w:val="bottom"/>
            <w:shd w:val="clear" w:color="auto" w:fill="5668B0"/>
          </w:tcPr>
          <w:p>
            <w:pPr>
              <w:spacing w:after="0"/>
              <w:rPr>
                <w:sz w:val="13"/>
                <w:szCs w:val="13"/>
                <w:color w:val="auto"/>
              </w:rPr>
            </w:pPr>
          </w:p>
        </w:tc>
        <w:tc>
          <w:tcPr>
            <w:tcW w:w="1160" w:type="dxa"/>
            <w:vAlign w:val="bottom"/>
            <w:shd w:val="clear" w:color="auto" w:fill="5668B0"/>
          </w:tcPr>
          <w:p>
            <w:pPr>
              <w:spacing w:after="0"/>
              <w:rPr>
                <w:sz w:val="13"/>
                <w:szCs w:val="13"/>
                <w:color w:val="auto"/>
              </w:rPr>
            </w:pPr>
          </w:p>
        </w:tc>
        <w:tc>
          <w:tcPr>
            <w:tcW w:w="1160" w:type="dxa"/>
            <w:vAlign w:val="bottom"/>
            <w:shd w:val="clear" w:color="auto" w:fill="5668B0"/>
          </w:tcPr>
          <w:p>
            <w:pPr>
              <w:spacing w:after="0"/>
              <w:rPr>
                <w:sz w:val="13"/>
                <w:szCs w:val="13"/>
                <w:color w:val="auto"/>
              </w:rPr>
            </w:pPr>
          </w:p>
        </w:tc>
        <w:tc>
          <w:tcPr>
            <w:tcW w:w="1240" w:type="dxa"/>
            <w:vAlign w:val="bottom"/>
            <w:gridSpan w:val="2"/>
            <w:shd w:val="clear" w:color="auto" w:fill="5668B0"/>
          </w:tcPr>
          <w:p>
            <w:pPr>
              <w:jc w:val="center"/>
              <w:ind w:left="3"/>
              <w:spacing w:after="0"/>
              <w:rPr>
                <w:sz w:val="20"/>
                <w:szCs w:val="20"/>
                <w:color w:val="auto"/>
              </w:rPr>
            </w:pPr>
            <w:r>
              <w:rPr>
                <w:rFonts w:ascii="Arial" w:cs="Arial" w:eastAsia="Arial" w:hAnsi="Arial"/>
                <w:sz w:val="13"/>
                <w:szCs w:val="13"/>
                <w:color w:val="FFFFFE"/>
              </w:rPr>
              <w:t>between Short-</w:t>
            </w:r>
          </w:p>
        </w:tc>
        <w:tc>
          <w:tcPr>
            <w:tcW w:w="1160" w:type="dxa"/>
            <w:vAlign w:val="bottom"/>
            <w:shd w:val="clear" w:color="auto" w:fill="5668B0"/>
          </w:tcPr>
          <w:p>
            <w:pPr>
              <w:jc w:val="center"/>
              <w:ind w:left="23"/>
              <w:spacing w:after="0"/>
              <w:rPr>
                <w:sz w:val="20"/>
                <w:szCs w:val="20"/>
                <w:color w:val="auto"/>
              </w:rPr>
            </w:pPr>
            <w:r>
              <w:rPr>
                <w:rFonts w:ascii="Arial" w:cs="Arial" w:eastAsia="Arial" w:hAnsi="Arial"/>
                <w:sz w:val="13"/>
                <w:szCs w:val="13"/>
                <w:color w:val="FFFFFE"/>
              </w:rPr>
              <w:t>Market</w:t>
            </w: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2"/>
        </w:trPr>
        <w:tc>
          <w:tcPr>
            <w:tcW w:w="1360" w:type="dxa"/>
            <w:vAlign w:val="bottom"/>
          </w:tcPr>
          <w:p>
            <w:pPr>
              <w:spacing w:after="0"/>
              <w:rPr>
                <w:sz w:val="13"/>
                <w:szCs w:val="13"/>
                <w:color w:val="auto"/>
              </w:rPr>
            </w:pPr>
          </w:p>
        </w:tc>
        <w:tc>
          <w:tcPr>
            <w:tcW w:w="3860" w:type="dxa"/>
            <w:vAlign w:val="bottom"/>
            <w:shd w:val="clear" w:color="auto" w:fill="5668B0"/>
          </w:tcPr>
          <w:p>
            <w:pPr>
              <w:spacing w:after="0"/>
              <w:rPr>
                <w:sz w:val="13"/>
                <w:szCs w:val="13"/>
                <w:color w:val="auto"/>
              </w:rPr>
            </w:pPr>
          </w:p>
        </w:tc>
        <w:tc>
          <w:tcPr>
            <w:tcW w:w="116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Pay for</w:t>
            </w:r>
          </w:p>
        </w:tc>
        <w:tc>
          <w:tcPr>
            <w:tcW w:w="1160" w:type="dxa"/>
            <w:vAlign w:val="bottom"/>
            <w:shd w:val="clear" w:color="auto" w:fill="5668B0"/>
          </w:tcPr>
          <w:p>
            <w:pPr>
              <w:jc w:val="center"/>
              <w:spacing w:after="0"/>
              <w:rPr>
                <w:sz w:val="20"/>
                <w:szCs w:val="20"/>
                <w:color w:val="auto"/>
              </w:rPr>
            </w:pPr>
            <w:r>
              <w:rPr>
                <w:rFonts w:ascii="Arial" w:cs="Arial" w:eastAsia="Arial" w:hAnsi="Arial"/>
                <w:sz w:val="13"/>
                <w:szCs w:val="13"/>
                <w:color w:val="FFFFFE"/>
              </w:rPr>
              <w:t>Shareholder</w:t>
            </w:r>
          </w:p>
        </w:tc>
        <w:tc>
          <w:tcPr>
            <w:tcW w:w="1240" w:type="dxa"/>
            <w:vAlign w:val="bottom"/>
            <w:gridSpan w:val="2"/>
            <w:shd w:val="clear" w:color="auto" w:fill="5668B0"/>
          </w:tcPr>
          <w:p>
            <w:pPr>
              <w:jc w:val="center"/>
              <w:spacing w:after="0"/>
              <w:rPr>
                <w:sz w:val="20"/>
                <w:szCs w:val="20"/>
                <w:color w:val="auto"/>
              </w:rPr>
            </w:pPr>
            <w:r>
              <w:rPr>
                <w:rFonts w:ascii="Arial" w:cs="Arial" w:eastAsia="Arial" w:hAnsi="Arial"/>
                <w:sz w:val="13"/>
                <w:szCs w:val="13"/>
                <w:color w:val="FFFFFE"/>
              </w:rPr>
              <w:t>and Long-Term</w:t>
            </w:r>
          </w:p>
        </w:tc>
        <w:tc>
          <w:tcPr>
            <w:tcW w:w="1160" w:type="dxa"/>
            <w:vAlign w:val="bottom"/>
            <w:shd w:val="clear" w:color="auto" w:fill="5668B0"/>
          </w:tcPr>
          <w:p>
            <w:pPr>
              <w:jc w:val="center"/>
              <w:ind w:left="23"/>
              <w:spacing w:after="0"/>
              <w:rPr>
                <w:sz w:val="20"/>
                <w:szCs w:val="20"/>
                <w:color w:val="auto"/>
              </w:rPr>
            </w:pPr>
            <w:r>
              <w:rPr>
                <w:rFonts w:ascii="Arial" w:cs="Arial" w:eastAsia="Arial" w:hAnsi="Arial"/>
                <w:sz w:val="13"/>
                <w:szCs w:val="13"/>
                <w:color w:val="FFFFFE"/>
              </w:rPr>
              <w:t>Competitiveness</w:t>
            </w: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7"/>
        </w:trPr>
        <w:tc>
          <w:tcPr>
            <w:tcW w:w="1360" w:type="dxa"/>
            <w:vAlign w:val="bottom"/>
          </w:tcPr>
          <w:p>
            <w:pPr>
              <w:spacing w:after="0"/>
              <w:rPr>
                <w:sz w:val="12"/>
                <w:szCs w:val="12"/>
                <w:color w:val="auto"/>
              </w:rPr>
            </w:pPr>
          </w:p>
        </w:tc>
        <w:tc>
          <w:tcPr>
            <w:tcW w:w="3860" w:type="dxa"/>
            <w:vAlign w:val="bottom"/>
            <w:shd w:val="clear" w:color="auto" w:fill="5668B0"/>
          </w:tcPr>
          <w:p>
            <w:pPr>
              <w:ind w:left="20"/>
              <w:spacing w:after="0" w:line="148" w:lineRule="exact"/>
              <w:rPr>
                <w:sz w:val="20"/>
                <w:szCs w:val="20"/>
                <w:color w:val="auto"/>
              </w:rPr>
            </w:pPr>
            <w:r>
              <w:rPr>
                <w:rFonts w:ascii="Arial" w:cs="Arial" w:eastAsia="Arial" w:hAnsi="Arial"/>
                <w:sz w:val="13"/>
                <w:szCs w:val="13"/>
                <w:color w:val="FFFFFE"/>
              </w:rPr>
              <w:t>Compensation Element</w:t>
            </w:r>
          </w:p>
        </w:tc>
        <w:tc>
          <w:tcPr>
            <w:tcW w:w="1160" w:type="dxa"/>
            <w:vAlign w:val="bottom"/>
            <w:shd w:val="clear" w:color="auto" w:fill="5668B0"/>
          </w:tcPr>
          <w:p>
            <w:pPr>
              <w:jc w:val="center"/>
              <w:spacing w:after="0" w:line="148" w:lineRule="exact"/>
              <w:rPr>
                <w:sz w:val="20"/>
                <w:szCs w:val="20"/>
                <w:color w:val="auto"/>
              </w:rPr>
            </w:pPr>
            <w:r>
              <w:rPr>
                <w:rFonts w:ascii="Arial" w:cs="Arial" w:eastAsia="Arial" w:hAnsi="Arial"/>
                <w:sz w:val="13"/>
                <w:szCs w:val="13"/>
                <w:color w:val="FFFFFE"/>
              </w:rPr>
              <w:t>Performance</w:t>
            </w:r>
          </w:p>
        </w:tc>
        <w:tc>
          <w:tcPr>
            <w:tcW w:w="1160" w:type="dxa"/>
            <w:vAlign w:val="bottom"/>
            <w:shd w:val="clear" w:color="auto" w:fill="5668B0"/>
          </w:tcPr>
          <w:p>
            <w:pPr>
              <w:jc w:val="center"/>
              <w:spacing w:after="0" w:line="148" w:lineRule="exact"/>
              <w:rPr>
                <w:sz w:val="20"/>
                <w:szCs w:val="20"/>
                <w:color w:val="auto"/>
              </w:rPr>
            </w:pPr>
            <w:r>
              <w:rPr>
                <w:rFonts w:ascii="Arial" w:cs="Arial" w:eastAsia="Arial" w:hAnsi="Arial"/>
                <w:sz w:val="13"/>
                <w:szCs w:val="13"/>
                <w:color w:val="FFFFFE"/>
              </w:rPr>
              <w:t>Alignment</w:t>
            </w:r>
          </w:p>
        </w:tc>
        <w:tc>
          <w:tcPr>
            <w:tcW w:w="240" w:type="dxa"/>
            <w:vAlign w:val="bottom"/>
            <w:tcBorders>
              <w:right w:val="single" w:sz="8" w:color="5668B0"/>
            </w:tcBorders>
            <w:shd w:val="clear" w:color="auto" w:fill="5668B0"/>
          </w:tcPr>
          <w:p>
            <w:pPr>
              <w:spacing w:after="0"/>
              <w:rPr>
                <w:sz w:val="12"/>
                <w:szCs w:val="12"/>
                <w:color w:val="auto"/>
              </w:rPr>
            </w:pPr>
          </w:p>
        </w:tc>
        <w:tc>
          <w:tcPr>
            <w:tcW w:w="1000" w:type="dxa"/>
            <w:vAlign w:val="bottom"/>
            <w:shd w:val="clear" w:color="auto" w:fill="5668B0"/>
          </w:tcPr>
          <w:p>
            <w:pPr>
              <w:jc w:val="center"/>
              <w:ind w:right="108"/>
              <w:spacing w:after="0" w:line="148" w:lineRule="exact"/>
              <w:rPr>
                <w:sz w:val="20"/>
                <w:szCs w:val="20"/>
                <w:color w:val="auto"/>
              </w:rPr>
            </w:pPr>
            <w:r>
              <w:rPr>
                <w:rFonts w:ascii="Arial" w:cs="Arial" w:eastAsia="Arial" w:hAnsi="Arial"/>
                <w:sz w:val="13"/>
                <w:szCs w:val="13"/>
                <w:color w:val="FFFFFE"/>
              </w:rPr>
              <w:t>Perspectives</w:t>
            </w:r>
          </w:p>
        </w:tc>
        <w:tc>
          <w:tcPr>
            <w:tcW w:w="1160" w:type="dxa"/>
            <w:vAlign w:val="bottom"/>
            <w:shd w:val="clear" w:color="auto" w:fill="5668B0"/>
          </w:tcPr>
          <w:p>
            <w:pPr>
              <w:jc w:val="center"/>
              <w:ind w:left="3"/>
              <w:spacing w:after="0" w:line="148" w:lineRule="exact"/>
              <w:rPr>
                <w:sz w:val="20"/>
                <w:szCs w:val="20"/>
                <w:color w:val="auto"/>
              </w:rPr>
            </w:pPr>
            <w:r>
              <w:rPr>
                <w:rFonts w:ascii="Arial" w:cs="Arial" w:eastAsia="Arial" w:hAnsi="Arial"/>
                <w:sz w:val="13"/>
                <w:szCs w:val="13"/>
                <w:color w:val="FFFFFE"/>
              </w:rPr>
              <w:t>and Retention</w:t>
            </w: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02"/>
        </w:trPr>
        <w:tc>
          <w:tcPr>
            <w:tcW w:w="1360" w:type="dxa"/>
            <w:vAlign w:val="bottom"/>
          </w:tcPr>
          <w:p>
            <w:pPr>
              <w:spacing w:after="0"/>
              <w:rPr>
                <w:sz w:val="17"/>
                <w:szCs w:val="17"/>
                <w:color w:val="auto"/>
              </w:rPr>
            </w:pPr>
          </w:p>
        </w:tc>
        <w:tc>
          <w:tcPr>
            <w:tcW w:w="3860" w:type="dxa"/>
            <w:vAlign w:val="bottom"/>
            <w:shd w:val="clear" w:color="auto" w:fill="E6ECF8"/>
          </w:tcPr>
          <w:p>
            <w:pPr>
              <w:ind w:left="20"/>
              <w:spacing w:after="0"/>
              <w:rPr>
                <w:sz w:val="20"/>
                <w:szCs w:val="20"/>
                <w:color w:val="auto"/>
              </w:rPr>
            </w:pPr>
            <w:r>
              <w:rPr>
                <w:rFonts w:ascii="Arial" w:cs="Arial" w:eastAsia="Arial" w:hAnsi="Arial"/>
                <w:sz w:val="16"/>
                <w:szCs w:val="16"/>
                <w:color w:val="auto"/>
              </w:rPr>
              <w:t>Base Salary</w:t>
            </w:r>
          </w:p>
        </w:tc>
        <w:tc>
          <w:tcPr>
            <w:tcW w:w="1160" w:type="dxa"/>
            <w:vAlign w:val="bottom"/>
            <w:shd w:val="clear" w:color="auto" w:fill="E6ECF8"/>
          </w:tcPr>
          <w:p>
            <w:pPr>
              <w:spacing w:after="0"/>
              <w:rPr>
                <w:sz w:val="17"/>
                <w:szCs w:val="17"/>
                <w:color w:val="auto"/>
              </w:rPr>
            </w:pPr>
          </w:p>
        </w:tc>
        <w:tc>
          <w:tcPr>
            <w:tcW w:w="1160" w:type="dxa"/>
            <w:vAlign w:val="bottom"/>
            <w:shd w:val="clear" w:color="auto" w:fill="E6ECF8"/>
          </w:tcPr>
          <w:p>
            <w:pPr>
              <w:spacing w:after="0"/>
              <w:rPr>
                <w:sz w:val="17"/>
                <w:szCs w:val="17"/>
                <w:color w:val="auto"/>
              </w:rPr>
            </w:pPr>
          </w:p>
        </w:tc>
        <w:tc>
          <w:tcPr>
            <w:tcW w:w="1240" w:type="dxa"/>
            <w:vAlign w:val="bottom"/>
            <w:gridSpan w:val="2"/>
            <w:shd w:val="clear" w:color="auto" w:fill="E6ECF8"/>
          </w:tcPr>
          <w:p>
            <w:pPr>
              <w:jc w:val="center"/>
              <w:ind w:left="3"/>
              <w:spacing w:after="0"/>
              <w:rPr>
                <w:sz w:val="20"/>
                <w:szCs w:val="20"/>
                <w:color w:val="auto"/>
              </w:rPr>
            </w:pPr>
            <w:r>
              <w:rPr>
                <w:rFonts w:ascii="Arial" w:cs="Arial" w:eastAsia="Arial" w:hAnsi="Arial"/>
                <w:sz w:val="16"/>
                <w:szCs w:val="16"/>
                <w:color w:val="auto"/>
                <w:w w:val="74"/>
              </w:rPr>
              <w:t>·</w:t>
            </w:r>
          </w:p>
        </w:tc>
        <w:tc>
          <w:tcPr>
            <w:tcW w:w="1160" w:type="dxa"/>
            <w:vAlign w:val="bottom"/>
            <w:shd w:val="clear" w:color="auto" w:fill="E6ECF8"/>
          </w:tcPr>
          <w:p>
            <w:pPr>
              <w:jc w:val="center"/>
              <w:ind w:left="3"/>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3860" w:type="dxa"/>
            <w:vAlign w:val="bottom"/>
            <w:shd w:val="clear" w:color="auto" w:fill="D0DBEF"/>
          </w:tcPr>
          <w:p>
            <w:pPr>
              <w:ind w:left="20"/>
              <w:spacing w:after="0"/>
              <w:rPr>
                <w:sz w:val="20"/>
                <w:szCs w:val="20"/>
                <w:color w:val="auto"/>
              </w:rPr>
            </w:pPr>
            <w:r>
              <w:rPr>
                <w:rFonts w:ascii="Arial" w:cs="Arial" w:eastAsia="Arial" w:hAnsi="Arial"/>
                <w:sz w:val="16"/>
                <w:szCs w:val="16"/>
                <w:color w:val="auto"/>
              </w:rPr>
              <w:t>Annual Cash Bonus</w:t>
            </w:r>
          </w:p>
        </w:tc>
        <w:tc>
          <w:tcPr>
            <w:tcW w:w="1160" w:type="dxa"/>
            <w:vAlign w:val="bottom"/>
            <w:shd w:val="clear" w:color="auto" w:fill="D0DBEF"/>
          </w:tcPr>
          <w:p>
            <w:pPr>
              <w:jc w:val="center"/>
              <w:ind w:right="5"/>
              <w:spacing w:after="0"/>
              <w:rPr>
                <w:sz w:val="20"/>
                <w:szCs w:val="20"/>
                <w:color w:val="auto"/>
              </w:rPr>
            </w:pPr>
            <w:r>
              <w:rPr>
                <w:rFonts w:ascii="Arial" w:cs="Arial" w:eastAsia="Arial" w:hAnsi="Arial"/>
                <w:sz w:val="16"/>
                <w:szCs w:val="16"/>
                <w:color w:val="auto"/>
                <w:w w:val="74"/>
              </w:rPr>
              <w:t>·</w:t>
            </w:r>
          </w:p>
        </w:tc>
        <w:tc>
          <w:tcPr>
            <w:tcW w:w="1160" w:type="dxa"/>
            <w:vAlign w:val="bottom"/>
            <w:shd w:val="clear" w:color="auto" w:fill="D0DBEF"/>
          </w:tcPr>
          <w:p>
            <w:pPr>
              <w:jc w:val="center"/>
              <w:spacing w:after="0"/>
              <w:rPr>
                <w:sz w:val="20"/>
                <w:szCs w:val="20"/>
                <w:color w:val="auto"/>
              </w:rPr>
            </w:pPr>
            <w:r>
              <w:rPr>
                <w:rFonts w:ascii="Arial" w:cs="Arial" w:eastAsia="Arial" w:hAnsi="Arial"/>
                <w:sz w:val="16"/>
                <w:szCs w:val="16"/>
                <w:color w:val="auto"/>
                <w:w w:val="74"/>
              </w:rPr>
              <w:t>·</w:t>
            </w:r>
          </w:p>
        </w:tc>
        <w:tc>
          <w:tcPr>
            <w:tcW w:w="1240" w:type="dxa"/>
            <w:vAlign w:val="bottom"/>
            <w:gridSpan w:val="2"/>
            <w:shd w:val="clear" w:color="auto" w:fill="D0DBEF"/>
          </w:tcPr>
          <w:p>
            <w:pPr>
              <w:jc w:val="center"/>
              <w:ind w:left="3"/>
              <w:spacing w:after="0"/>
              <w:rPr>
                <w:sz w:val="20"/>
                <w:szCs w:val="20"/>
                <w:color w:val="auto"/>
              </w:rPr>
            </w:pPr>
            <w:r>
              <w:rPr>
                <w:rFonts w:ascii="Arial" w:cs="Arial" w:eastAsia="Arial" w:hAnsi="Arial"/>
                <w:sz w:val="16"/>
                <w:szCs w:val="16"/>
                <w:color w:val="auto"/>
                <w:w w:val="74"/>
              </w:rPr>
              <w:t>·</w:t>
            </w:r>
          </w:p>
        </w:tc>
        <w:tc>
          <w:tcPr>
            <w:tcW w:w="1160" w:type="dxa"/>
            <w:vAlign w:val="bottom"/>
            <w:shd w:val="clear" w:color="auto" w:fill="D0DBEF"/>
          </w:tcPr>
          <w:p>
            <w:pPr>
              <w:jc w:val="center"/>
              <w:ind w:left="3"/>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3860" w:type="dxa"/>
            <w:vAlign w:val="bottom"/>
            <w:shd w:val="clear" w:color="auto" w:fill="E6ECF8"/>
          </w:tcPr>
          <w:p>
            <w:pPr>
              <w:ind w:left="20"/>
              <w:spacing w:after="0"/>
              <w:rPr>
                <w:sz w:val="20"/>
                <w:szCs w:val="20"/>
                <w:color w:val="auto"/>
              </w:rPr>
            </w:pPr>
            <w:r>
              <w:rPr>
                <w:rFonts w:ascii="Arial" w:cs="Arial" w:eastAsia="Arial" w:hAnsi="Arial"/>
                <w:sz w:val="16"/>
                <w:szCs w:val="16"/>
                <w:color w:val="auto"/>
              </w:rPr>
              <w:t>Annual Stock Option Awards</w:t>
            </w:r>
          </w:p>
        </w:tc>
        <w:tc>
          <w:tcPr>
            <w:tcW w:w="1160" w:type="dxa"/>
            <w:vAlign w:val="bottom"/>
            <w:shd w:val="clear" w:color="auto" w:fill="E6ECF8"/>
          </w:tcPr>
          <w:p>
            <w:pPr>
              <w:jc w:val="center"/>
              <w:ind w:right="5"/>
              <w:spacing w:after="0"/>
              <w:rPr>
                <w:sz w:val="20"/>
                <w:szCs w:val="20"/>
                <w:color w:val="auto"/>
              </w:rPr>
            </w:pPr>
            <w:r>
              <w:rPr>
                <w:rFonts w:ascii="Arial" w:cs="Arial" w:eastAsia="Arial" w:hAnsi="Arial"/>
                <w:sz w:val="16"/>
                <w:szCs w:val="16"/>
                <w:color w:val="auto"/>
                <w:w w:val="74"/>
              </w:rPr>
              <w:t>·</w:t>
            </w:r>
          </w:p>
        </w:tc>
        <w:tc>
          <w:tcPr>
            <w:tcW w:w="1160" w:type="dxa"/>
            <w:vAlign w:val="bottom"/>
            <w:shd w:val="clear" w:color="auto" w:fill="E6ECF8"/>
          </w:tcPr>
          <w:p>
            <w:pPr>
              <w:jc w:val="center"/>
              <w:spacing w:after="0"/>
              <w:rPr>
                <w:sz w:val="20"/>
                <w:szCs w:val="20"/>
                <w:color w:val="auto"/>
              </w:rPr>
            </w:pPr>
            <w:r>
              <w:rPr>
                <w:rFonts w:ascii="Arial" w:cs="Arial" w:eastAsia="Arial" w:hAnsi="Arial"/>
                <w:sz w:val="16"/>
                <w:szCs w:val="16"/>
                <w:color w:val="auto"/>
                <w:w w:val="74"/>
              </w:rPr>
              <w:t>·</w:t>
            </w:r>
          </w:p>
        </w:tc>
        <w:tc>
          <w:tcPr>
            <w:tcW w:w="1240" w:type="dxa"/>
            <w:vAlign w:val="bottom"/>
            <w:gridSpan w:val="2"/>
            <w:shd w:val="clear" w:color="auto" w:fill="E6ECF8"/>
          </w:tcPr>
          <w:p>
            <w:pPr>
              <w:jc w:val="center"/>
              <w:ind w:left="3"/>
              <w:spacing w:after="0"/>
              <w:rPr>
                <w:sz w:val="20"/>
                <w:szCs w:val="20"/>
                <w:color w:val="auto"/>
              </w:rPr>
            </w:pPr>
            <w:r>
              <w:rPr>
                <w:rFonts w:ascii="Arial" w:cs="Arial" w:eastAsia="Arial" w:hAnsi="Arial"/>
                <w:sz w:val="16"/>
                <w:szCs w:val="16"/>
                <w:color w:val="auto"/>
                <w:w w:val="74"/>
              </w:rPr>
              <w:t>·</w:t>
            </w:r>
          </w:p>
        </w:tc>
        <w:tc>
          <w:tcPr>
            <w:tcW w:w="1160" w:type="dxa"/>
            <w:vAlign w:val="bottom"/>
            <w:shd w:val="clear" w:color="auto" w:fill="E6ECF8"/>
          </w:tcPr>
          <w:p>
            <w:pPr>
              <w:jc w:val="center"/>
              <w:ind w:left="3"/>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3860" w:type="dxa"/>
            <w:vAlign w:val="bottom"/>
            <w:shd w:val="clear" w:color="auto" w:fill="D0DBEF"/>
          </w:tcPr>
          <w:p>
            <w:pPr>
              <w:ind w:left="20"/>
              <w:spacing w:after="0"/>
              <w:rPr>
                <w:sz w:val="20"/>
                <w:szCs w:val="20"/>
                <w:color w:val="auto"/>
              </w:rPr>
            </w:pPr>
            <w:r>
              <w:rPr>
                <w:rFonts w:ascii="Arial" w:cs="Arial" w:eastAsia="Arial" w:hAnsi="Arial"/>
                <w:sz w:val="16"/>
                <w:szCs w:val="16"/>
                <w:color w:val="auto"/>
              </w:rPr>
              <w:t>Perquisites and Other Personal Benefits</w:t>
            </w:r>
          </w:p>
        </w:tc>
        <w:tc>
          <w:tcPr>
            <w:tcW w:w="1160" w:type="dxa"/>
            <w:vAlign w:val="bottom"/>
            <w:shd w:val="clear" w:color="auto" w:fill="D0DBEF"/>
          </w:tcPr>
          <w:p>
            <w:pPr>
              <w:spacing w:after="0"/>
              <w:rPr>
                <w:sz w:val="17"/>
                <w:szCs w:val="17"/>
                <w:color w:val="auto"/>
              </w:rPr>
            </w:pPr>
          </w:p>
        </w:tc>
        <w:tc>
          <w:tcPr>
            <w:tcW w:w="1160" w:type="dxa"/>
            <w:vAlign w:val="bottom"/>
            <w:shd w:val="clear" w:color="auto" w:fill="D0DBEF"/>
          </w:tcPr>
          <w:p>
            <w:pPr>
              <w:spacing w:after="0"/>
              <w:rPr>
                <w:sz w:val="17"/>
                <w:szCs w:val="17"/>
                <w:color w:val="auto"/>
              </w:rPr>
            </w:pPr>
          </w:p>
        </w:tc>
        <w:tc>
          <w:tcPr>
            <w:tcW w:w="240" w:type="dxa"/>
            <w:vAlign w:val="bottom"/>
            <w:tcBorders>
              <w:right w:val="single" w:sz="8" w:color="D0DBEF"/>
            </w:tcBorders>
            <w:shd w:val="clear" w:color="auto" w:fill="D0DBEF"/>
          </w:tcPr>
          <w:p>
            <w:pPr>
              <w:spacing w:after="0"/>
              <w:rPr>
                <w:sz w:val="17"/>
                <w:szCs w:val="17"/>
                <w:color w:val="auto"/>
              </w:rPr>
            </w:pPr>
          </w:p>
        </w:tc>
        <w:tc>
          <w:tcPr>
            <w:tcW w:w="1000" w:type="dxa"/>
            <w:vAlign w:val="bottom"/>
            <w:shd w:val="clear" w:color="auto" w:fill="D0DBEF"/>
          </w:tcPr>
          <w:p>
            <w:pPr>
              <w:spacing w:after="0"/>
              <w:rPr>
                <w:sz w:val="17"/>
                <w:szCs w:val="17"/>
                <w:color w:val="auto"/>
              </w:rPr>
            </w:pPr>
          </w:p>
        </w:tc>
        <w:tc>
          <w:tcPr>
            <w:tcW w:w="1160" w:type="dxa"/>
            <w:vAlign w:val="bottom"/>
            <w:shd w:val="clear" w:color="auto" w:fill="D0DBEF"/>
          </w:tcPr>
          <w:p>
            <w:pPr>
              <w:jc w:val="center"/>
              <w:ind w:left="3"/>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3860" w:type="dxa"/>
            <w:vAlign w:val="bottom"/>
            <w:shd w:val="clear" w:color="auto" w:fill="E6ECF8"/>
          </w:tcPr>
          <w:p>
            <w:pPr>
              <w:ind w:left="20"/>
              <w:spacing w:after="0"/>
              <w:rPr>
                <w:sz w:val="20"/>
                <w:szCs w:val="20"/>
                <w:color w:val="auto"/>
              </w:rPr>
            </w:pPr>
            <w:r>
              <w:rPr>
                <w:rFonts w:ascii="Arial" w:cs="Arial" w:eastAsia="Arial" w:hAnsi="Arial"/>
                <w:sz w:val="16"/>
                <w:szCs w:val="16"/>
                <w:color w:val="auto"/>
              </w:rPr>
              <w:t>Potential Severance Benefits</w:t>
            </w:r>
          </w:p>
        </w:tc>
        <w:tc>
          <w:tcPr>
            <w:tcW w:w="1160" w:type="dxa"/>
            <w:vAlign w:val="bottom"/>
            <w:shd w:val="clear" w:color="auto" w:fill="E6ECF8"/>
          </w:tcPr>
          <w:p>
            <w:pPr>
              <w:spacing w:after="0"/>
              <w:rPr>
                <w:sz w:val="17"/>
                <w:szCs w:val="17"/>
                <w:color w:val="auto"/>
              </w:rPr>
            </w:pPr>
          </w:p>
        </w:tc>
        <w:tc>
          <w:tcPr>
            <w:tcW w:w="1160" w:type="dxa"/>
            <w:vAlign w:val="bottom"/>
            <w:shd w:val="clear" w:color="auto" w:fill="E6ECF8"/>
          </w:tcPr>
          <w:p>
            <w:pPr>
              <w:spacing w:after="0"/>
              <w:rPr>
                <w:sz w:val="17"/>
                <w:szCs w:val="17"/>
                <w:color w:val="auto"/>
              </w:rPr>
            </w:pPr>
          </w:p>
        </w:tc>
        <w:tc>
          <w:tcPr>
            <w:tcW w:w="1240" w:type="dxa"/>
            <w:vAlign w:val="bottom"/>
            <w:gridSpan w:val="2"/>
            <w:shd w:val="clear" w:color="auto" w:fill="E6ECF8"/>
          </w:tcPr>
          <w:p>
            <w:pPr>
              <w:jc w:val="center"/>
              <w:ind w:left="3"/>
              <w:spacing w:after="0"/>
              <w:rPr>
                <w:sz w:val="20"/>
                <w:szCs w:val="20"/>
                <w:color w:val="auto"/>
              </w:rPr>
            </w:pPr>
            <w:r>
              <w:rPr>
                <w:rFonts w:ascii="Arial" w:cs="Arial" w:eastAsia="Arial" w:hAnsi="Arial"/>
                <w:sz w:val="16"/>
                <w:szCs w:val="16"/>
                <w:color w:val="auto"/>
                <w:w w:val="74"/>
              </w:rPr>
              <w:t>·</w:t>
            </w:r>
          </w:p>
        </w:tc>
        <w:tc>
          <w:tcPr>
            <w:tcW w:w="1160" w:type="dxa"/>
            <w:vAlign w:val="bottom"/>
            <w:shd w:val="clear" w:color="auto" w:fill="E6ECF8"/>
          </w:tcPr>
          <w:p>
            <w:pPr>
              <w:jc w:val="center"/>
              <w:ind w:left="3"/>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13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04"/>
        </w:trPr>
        <w:tc>
          <w:tcPr>
            <w:tcW w:w="1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Borders>
              <w:right w:val="single" w:sz="8" w:color="183394"/>
            </w:tcBorders>
          </w:tcPr>
          <w:p>
            <w:pPr>
              <w:spacing w:after="0"/>
              <w:rPr>
                <w:sz w:val="24"/>
                <w:szCs w:val="24"/>
                <w:color w:val="auto"/>
              </w:rPr>
            </w:pPr>
          </w:p>
        </w:tc>
        <w:tc>
          <w:tcPr>
            <w:tcW w:w="2640" w:type="dxa"/>
            <w:vAlign w:val="bottom"/>
            <w:gridSpan w:val="3"/>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37</w:t>
            </w:r>
          </w:p>
        </w:tc>
      </w:tr>
      <w:tr>
        <w:trPr>
          <w:trHeight w:val="110"/>
        </w:trPr>
        <w:tc>
          <w:tcPr>
            <w:tcW w:w="13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2060" w:type="dxa"/>
            <w:vAlign w:val="bottom"/>
            <w:gridSpan w:val="3"/>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Table of Contents</w:t>
              </w:r>
            </w:hyperlink>
          </w:p>
        </w:tc>
        <w:tc>
          <w:tcPr>
            <w:tcW w:w="4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140" w:type="dxa"/>
            <w:vAlign w:val="bottom"/>
            <w:vMerge w:val="restart"/>
          </w:tcPr>
          <w:p>
            <w:pPr>
              <w:ind w:left="840"/>
              <w:spacing w:after="0"/>
              <w:rPr>
                <w:sz w:val="20"/>
                <w:szCs w:val="20"/>
                <w:color w:val="auto"/>
              </w:rPr>
            </w:pPr>
            <w:r>
              <w:rPr>
                <w:rFonts w:ascii="Courier New" w:cs="Courier New" w:eastAsia="Courier New" w:hAnsi="Courier New"/>
                <w:sz w:val="13"/>
                <w:szCs w:val="13"/>
                <w:b w:val="1"/>
                <w:bCs w:val="1"/>
                <w:color w:val="5668B0"/>
              </w:rPr>
              <w:t>o</w:t>
            </w: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6220" w:type="dxa"/>
            <w:vAlign w:val="bottom"/>
            <w:gridSpan w:val="4"/>
          </w:tcPr>
          <w:p>
            <w:pPr>
              <w:spacing w:after="0"/>
              <w:rPr>
                <w:sz w:val="20"/>
                <w:szCs w:val="20"/>
                <w:color w:val="auto"/>
              </w:rPr>
            </w:pPr>
            <w:r>
              <w:rPr>
                <w:rFonts w:ascii="Arial" w:cs="Arial" w:eastAsia="Arial" w:hAnsi="Arial"/>
                <w:sz w:val="16"/>
                <w:szCs w:val="16"/>
                <w:color w:val="auto"/>
              </w:rPr>
              <w:t>The Compensation Committee considered each of our compensation</w:t>
            </w:r>
          </w:p>
        </w:tc>
        <w:tc>
          <w:tcPr>
            <w:tcW w:w="1140" w:type="dxa"/>
            <w:vAlign w:val="bottom"/>
            <w:vMerge w:val="continue"/>
          </w:tcPr>
          <w:p>
            <w:pPr>
              <w:spacing w:after="0"/>
              <w:rPr>
                <w:sz w:val="24"/>
                <w:szCs w:val="24"/>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To further illustrate this point, over the last five years,</w:t>
            </w:r>
          </w:p>
        </w:tc>
        <w:tc>
          <w:tcPr>
            <w:tcW w:w="0" w:type="dxa"/>
            <w:vAlign w:val="bottom"/>
          </w:tcPr>
          <w:p>
            <w:pPr>
              <w:spacing w:after="0"/>
              <w:rPr>
                <w:sz w:val="1"/>
                <w:szCs w:val="1"/>
                <w:color w:val="auto"/>
              </w:rPr>
            </w:pPr>
          </w:p>
        </w:tc>
      </w:tr>
      <w:tr>
        <w:trPr>
          <w:trHeight w:val="190"/>
        </w:trPr>
        <w:tc>
          <w:tcPr>
            <w:tcW w:w="6220" w:type="dxa"/>
            <w:vAlign w:val="bottom"/>
            <w:gridSpan w:val="4"/>
          </w:tcPr>
          <w:p>
            <w:pPr>
              <w:spacing w:after="0"/>
              <w:rPr>
                <w:sz w:val="20"/>
                <w:szCs w:val="20"/>
                <w:color w:val="auto"/>
              </w:rPr>
            </w:pPr>
            <w:r>
              <w:rPr>
                <w:rFonts w:ascii="Arial" w:cs="Arial" w:eastAsia="Arial" w:hAnsi="Arial"/>
                <w:sz w:val="16"/>
                <w:szCs w:val="16"/>
                <w:color w:val="auto"/>
              </w:rPr>
              <w:t>objectives in determining the 2015 compensation of our executives,</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our   Chief   Executive   Officer's   total   direct</w:t>
            </w:r>
          </w:p>
        </w:tc>
        <w:tc>
          <w:tcPr>
            <w:tcW w:w="0" w:type="dxa"/>
            <w:vAlign w:val="bottom"/>
          </w:tcPr>
          <w:p>
            <w:pPr>
              <w:spacing w:after="0"/>
              <w:rPr>
                <w:sz w:val="1"/>
                <w:szCs w:val="1"/>
                <w:color w:val="auto"/>
              </w:rPr>
            </w:pPr>
          </w:p>
        </w:tc>
      </w:tr>
      <w:tr>
        <w:trPr>
          <w:trHeight w:val="190"/>
        </w:trPr>
        <w:tc>
          <w:tcPr>
            <w:tcW w:w="6220" w:type="dxa"/>
            <w:vAlign w:val="bottom"/>
            <w:gridSpan w:val="4"/>
          </w:tcPr>
          <w:p>
            <w:pPr>
              <w:spacing w:after="0"/>
              <w:rPr>
                <w:sz w:val="20"/>
                <w:szCs w:val="20"/>
                <w:color w:val="auto"/>
              </w:rPr>
            </w:pPr>
            <w:r>
              <w:rPr>
                <w:rFonts w:ascii="Arial" w:cs="Arial" w:eastAsia="Arial" w:hAnsi="Arial"/>
                <w:sz w:val="16"/>
                <w:szCs w:val="16"/>
                <w:color w:val="auto"/>
              </w:rPr>
              <w:t>including the Named Officers, as discussed in greater detail for each of</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compensation,  as  a  percentage  of  Regeneron's</w:t>
            </w:r>
          </w:p>
        </w:tc>
        <w:tc>
          <w:tcPr>
            <w:tcW w:w="0" w:type="dxa"/>
            <w:vAlign w:val="bottom"/>
          </w:tcPr>
          <w:p>
            <w:pPr>
              <w:spacing w:after="0"/>
              <w:rPr>
                <w:sz w:val="1"/>
                <w:szCs w:val="1"/>
                <w:color w:val="auto"/>
              </w:rPr>
            </w:pPr>
          </w:p>
        </w:tc>
      </w:tr>
      <w:tr>
        <w:trPr>
          <w:trHeight w:val="190"/>
        </w:trPr>
        <w:tc>
          <w:tcPr>
            <w:tcW w:w="6220" w:type="dxa"/>
            <w:vAlign w:val="bottom"/>
            <w:gridSpan w:val="4"/>
          </w:tcPr>
          <w:p>
            <w:pPr>
              <w:spacing w:after="0"/>
              <w:rPr>
                <w:sz w:val="20"/>
                <w:szCs w:val="20"/>
                <w:color w:val="auto"/>
              </w:rPr>
            </w:pPr>
            <w:r>
              <w:rPr>
                <w:rFonts w:ascii="Arial" w:cs="Arial" w:eastAsia="Arial" w:hAnsi="Arial"/>
                <w:sz w:val="16"/>
                <w:szCs w:val="16"/>
                <w:color w:val="auto"/>
              </w:rPr>
              <w:t>these  objectives  under  "Section  2  –  Analysis  of  2015  Executive</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capitalization in the year in which the compensation</w:t>
            </w:r>
          </w:p>
        </w:tc>
        <w:tc>
          <w:tcPr>
            <w:tcW w:w="0" w:type="dxa"/>
            <w:vAlign w:val="bottom"/>
          </w:tcPr>
          <w:p>
            <w:pPr>
              <w:spacing w:after="0"/>
              <w:rPr>
                <w:sz w:val="1"/>
                <w:szCs w:val="1"/>
                <w:color w:val="auto"/>
              </w:rPr>
            </w:pPr>
          </w:p>
        </w:tc>
      </w:tr>
      <w:tr>
        <w:trPr>
          <w:trHeight w:val="197"/>
        </w:trPr>
        <w:tc>
          <w:tcPr>
            <w:tcW w:w="6220" w:type="dxa"/>
            <w:vAlign w:val="bottom"/>
            <w:gridSpan w:val="4"/>
          </w:tcPr>
          <w:p>
            <w:pPr>
              <w:spacing w:after="0"/>
              <w:rPr>
                <w:sz w:val="20"/>
                <w:szCs w:val="20"/>
                <w:color w:val="auto"/>
              </w:rPr>
            </w:pPr>
            <w:r>
              <w:rPr>
                <w:rFonts w:ascii="Arial" w:cs="Arial" w:eastAsia="Arial" w:hAnsi="Arial"/>
                <w:sz w:val="16"/>
                <w:szCs w:val="16"/>
                <w:color w:val="auto"/>
              </w:rPr>
              <w:t>Compensation Based on Compensation Objectives." In particular:</w:t>
            </w:r>
          </w:p>
        </w:tc>
        <w:tc>
          <w:tcPr>
            <w:tcW w:w="114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was awarded, decreased from 0.20% to 0.08%.</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Arial" w:cs="Arial" w:eastAsia="Arial" w:hAnsi="Arial"/>
                <w:sz w:val="16"/>
                <w:szCs w:val="16"/>
                <w:color w:val="5668B0"/>
              </w:rPr>
              <w:t>•</w:t>
            </w:r>
          </w:p>
        </w:tc>
        <w:tc>
          <w:tcPr>
            <w:tcW w:w="5940" w:type="dxa"/>
            <w:vAlign w:val="bottom"/>
            <w:gridSpan w:val="3"/>
          </w:tcPr>
          <w:p>
            <w:pPr>
              <w:ind w:left="220"/>
              <w:spacing w:after="0"/>
              <w:rPr>
                <w:sz w:val="20"/>
                <w:szCs w:val="20"/>
                <w:color w:val="auto"/>
              </w:rPr>
            </w:pPr>
            <w:r>
              <w:rPr>
                <w:rFonts w:ascii="Arial" w:cs="Arial" w:eastAsia="Arial" w:hAnsi="Arial"/>
                <w:sz w:val="16"/>
                <w:szCs w:val="16"/>
                <w:b w:val="1"/>
                <w:bCs w:val="1"/>
                <w:i w:val="1"/>
                <w:iCs w:val="1"/>
                <w:color w:val="auto"/>
              </w:rPr>
              <w:t>We believe in performance-based compensation and long-</w:t>
            </w:r>
          </w:p>
        </w:tc>
        <w:tc>
          <w:tcPr>
            <w:tcW w:w="1140" w:type="dxa"/>
            <w:vAlign w:val="bottom"/>
          </w:tcPr>
          <w:p>
            <w:pPr>
              <w:ind w:left="840"/>
              <w:spacing w:after="0"/>
              <w:rPr>
                <w:sz w:val="20"/>
                <w:szCs w:val="20"/>
                <w:color w:val="auto"/>
              </w:rPr>
            </w:pPr>
            <w:r>
              <w:rPr>
                <w:rFonts w:ascii="Courier New" w:cs="Courier New" w:eastAsia="Courier New" w:hAnsi="Courier New"/>
                <w:sz w:val="13"/>
                <w:szCs w:val="13"/>
                <w:b w:val="1"/>
                <w:bCs w:val="1"/>
                <w:color w:val="5668B0"/>
              </w:rPr>
              <w:t>o</w:t>
            </w:r>
          </w:p>
        </w:tc>
        <w:tc>
          <w:tcPr>
            <w:tcW w:w="4060" w:type="dxa"/>
            <w:vAlign w:val="bottom"/>
          </w:tcPr>
          <w:p>
            <w:pPr>
              <w:ind w:left="220"/>
              <w:spacing w:after="0"/>
              <w:rPr>
                <w:sz w:val="20"/>
                <w:szCs w:val="20"/>
                <w:color w:val="auto"/>
              </w:rPr>
            </w:pPr>
            <w:r>
              <w:rPr>
                <w:rFonts w:ascii="Arial" w:cs="Arial" w:eastAsia="Arial" w:hAnsi="Arial"/>
                <w:sz w:val="16"/>
                <w:szCs w:val="16"/>
                <w:color w:val="auto"/>
              </w:rPr>
              <w:t>As a result of our emphasis on performance-based</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b w:val="1"/>
                <w:bCs w:val="1"/>
                <w:i w:val="1"/>
                <w:iCs w:val="1"/>
                <w:color w:val="auto"/>
              </w:rPr>
              <w:t>term incentives.</w:t>
            </w:r>
          </w:p>
        </w:tc>
        <w:tc>
          <w:tcPr>
            <w:tcW w:w="4160" w:type="dxa"/>
            <w:vAlign w:val="bottom"/>
          </w:tcPr>
          <w:p>
            <w:pPr>
              <w:ind w:left="60"/>
              <w:spacing w:after="0"/>
              <w:rPr>
                <w:sz w:val="20"/>
                <w:szCs w:val="20"/>
                <w:color w:val="auto"/>
              </w:rPr>
            </w:pPr>
            <w:r>
              <w:rPr>
                <w:rFonts w:ascii="Arial" w:cs="Arial" w:eastAsia="Arial" w:hAnsi="Arial"/>
                <w:sz w:val="16"/>
                <w:szCs w:val="16"/>
                <w:color w:val="auto"/>
              </w:rPr>
              <w:t>In 2015, we continued to rely primarily on</w:t>
            </w:r>
          </w:p>
        </w:tc>
        <w:tc>
          <w:tcPr>
            <w:tcW w:w="1140" w:type="dxa"/>
            <w:vAlign w:val="bottom"/>
          </w:tcPr>
          <w:p>
            <w:pPr>
              <w:spacing w:after="0"/>
              <w:rPr>
                <w:sz w:val="17"/>
                <w:szCs w:val="17"/>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compensation, on a relative basis when compared to</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940" w:type="dxa"/>
            <w:vAlign w:val="bottom"/>
            <w:gridSpan w:val="3"/>
          </w:tcPr>
          <w:p>
            <w:pPr>
              <w:ind w:left="220"/>
              <w:spacing w:after="0"/>
              <w:rPr>
                <w:sz w:val="20"/>
                <w:szCs w:val="20"/>
                <w:color w:val="auto"/>
              </w:rPr>
            </w:pPr>
            <w:r>
              <w:rPr>
                <w:rFonts w:ascii="Arial" w:cs="Arial" w:eastAsia="Arial" w:hAnsi="Arial"/>
                <w:sz w:val="16"/>
                <w:szCs w:val="16"/>
                <w:color w:val="auto"/>
              </w:rPr>
              <w:t>performance-based compensation, both for our short-term (cash</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our Peer Group, the total direct compensation of our</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940" w:type="dxa"/>
            <w:vAlign w:val="bottom"/>
            <w:gridSpan w:val="3"/>
          </w:tcPr>
          <w:p>
            <w:pPr>
              <w:ind w:left="220"/>
              <w:spacing w:after="0"/>
              <w:rPr>
                <w:sz w:val="20"/>
                <w:szCs w:val="20"/>
                <w:color w:val="auto"/>
              </w:rPr>
            </w:pPr>
            <w:r>
              <w:rPr>
                <w:rFonts w:ascii="Arial" w:cs="Arial" w:eastAsia="Arial" w:hAnsi="Arial"/>
                <w:sz w:val="16"/>
                <w:szCs w:val="16"/>
                <w:color w:val="auto"/>
              </w:rPr>
              <w:t>bonus)  and  long-term  incentives  (stock  option  awards).  This</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Chief Executive Officer over the last three years was</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940" w:type="dxa"/>
            <w:vAlign w:val="bottom"/>
            <w:gridSpan w:val="3"/>
          </w:tcPr>
          <w:p>
            <w:pPr>
              <w:ind w:left="220"/>
              <w:spacing w:after="0"/>
              <w:rPr>
                <w:sz w:val="20"/>
                <w:szCs w:val="20"/>
                <w:color w:val="auto"/>
              </w:rPr>
            </w:pPr>
            <w:r>
              <w:rPr>
                <w:rFonts w:ascii="Arial" w:cs="Arial" w:eastAsia="Arial" w:hAnsi="Arial"/>
                <w:sz w:val="16"/>
                <w:szCs w:val="16"/>
                <w:color w:val="auto"/>
              </w:rPr>
              <w:t>emphasis on performance-based compensation (particularly long-</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also closely aligned with the performance of our</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940" w:type="dxa"/>
            <w:vAlign w:val="bottom"/>
            <w:gridSpan w:val="3"/>
          </w:tcPr>
          <w:p>
            <w:pPr>
              <w:ind w:left="220"/>
              <w:spacing w:after="0"/>
              <w:rPr>
                <w:sz w:val="20"/>
                <w:szCs w:val="20"/>
                <w:color w:val="auto"/>
              </w:rPr>
            </w:pPr>
            <w:r>
              <w:rPr>
                <w:rFonts w:ascii="Arial" w:cs="Arial" w:eastAsia="Arial" w:hAnsi="Arial"/>
                <w:sz w:val="16"/>
                <w:szCs w:val="16"/>
                <w:color w:val="auto"/>
              </w:rPr>
              <w:t>term incentives in the form of stock options) has been a consistent</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common stock even when taking into account the</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940" w:type="dxa"/>
            <w:vAlign w:val="bottom"/>
            <w:gridSpan w:val="3"/>
          </w:tcPr>
          <w:p>
            <w:pPr>
              <w:ind w:left="220"/>
              <w:spacing w:after="0"/>
              <w:rPr>
                <w:sz w:val="20"/>
                <w:szCs w:val="20"/>
                <w:color w:val="auto"/>
              </w:rPr>
            </w:pPr>
            <w:r>
              <w:rPr>
                <w:rFonts w:ascii="Arial" w:cs="Arial" w:eastAsia="Arial" w:hAnsi="Arial"/>
                <w:sz w:val="16"/>
                <w:szCs w:val="16"/>
                <w:color w:val="auto"/>
              </w:rPr>
              <w:t>part of our philosophy since Regeneron's inception, including prior</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reported grant date fair value of our Chief Executive</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940" w:type="dxa"/>
            <w:vAlign w:val="bottom"/>
            <w:gridSpan w:val="3"/>
          </w:tcPr>
          <w:p>
            <w:pPr>
              <w:ind w:left="220"/>
              <w:spacing w:after="0"/>
              <w:rPr>
                <w:sz w:val="20"/>
                <w:szCs w:val="20"/>
                <w:color w:val="auto"/>
              </w:rPr>
            </w:pPr>
            <w:r>
              <w:rPr>
                <w:rFonts w:ascii="Arial" w:cs="Arial" w:eastAsia="Arial" w:hAnsi="Arial"/>
                <w:sz w:val="16"/>
                <w:szCs w:val="16"/>
                <w:color w:val="auto"/>
              </w:rPr>
              <w:t>to the significant appreciation in Regeneron's stock price that</w:t>
            </w:r>
          </w:p>
        </w:tc>
        <w:tc>
          <w:tcPr>
            <w:tcW w:w="1140" w:type="dxa"/>
            <w:vAlign w:val="bottom"/>
          </w:tcPr>
          <w:p>
            <w:pPr>
              <w:spacing w:after="0"/>
              <w:rPr>
                <w:sz w:val="16"/>
                <w:szCs w:val="16"/>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Officer's  stock  option  awards  as  determined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color w:val="auto"/>
              </w:rPr>
              <w:t>began in early 2011.</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6"/>
                <w:szCs w:val="16"/>
                <w:color w:val="auto"/>
              </w:rPr>
              <w:t>according to the Black-Scholes model.</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hanging="499"/>
        <w:spacing w:after="0"/>
        <w:tabs>
          <w:tab w:leader="none" w:pos="500" w:val="left"/>
        </w:tabs>
        <w:numPr>
          <w:ilvl w:val="0"/>
          <w:numId w:val="66"/>
        </w:numPr>
        <w:rPr>
          <w:rFonts w:ascii="Arial" w:cs="Arial" w:eastAsia="Arial" w:hAnsi="Arial"/>
          <w:sz w:val="16"/>
          <w:szCs w:val="16"/>
          <w:color w:val="5668B0"/>
        </w:rPr>
      </w:pPr>
      <w:r>
        <w:rPr>
          <w:rFonts w:ascii="Arial" w:cs="Arial" w:eastAsia="Arial" w:hAnsi="Arial"/>
          <w:sz w:val="16"/>
          <w:szCs w:val="16"/>
          <w:b w:val="1"/>
          <w:bCs w:val="1"/>
          <w:i w:val="1"/>
          <w:iCs w:val="1"/>
          <w:color w:val="auto"/>
        </w:rPr>
        <w:t>We  believe  that  time-based  stock  options  are  inherently</w:t>
      </w:r>
    </w:p>
    <w:tbl>
      <w:tblPr>
        <w:tblLayout w:type="fixed"/>
        <w:tblInd w:w="500" w:type="dxa"/>
        <w:tblCellMar>
          <w:top w:w="0" w:type="dxa"/>
          <w:left w:w="0" w:type="dxa"/>
          <w:bottom w:w="0" w:type="dxa"/>
          <w:right w:w="0" w:type="dxa"/>
        </w:tblCellMar>
      </w:tblPr>
      <w:tr>
        <w:trPr>
          <w:trHeight w:val="183"/>
        </w:trPr>
        <w:tc>
          <w:tcPr>
            <w:tcW w:w="5220" w:type="dxa"/>
            <w:vAlign w:val="bottom"/>
            <w:gridSpan w:val="3"/>
          </w:tcPr>
          <w:p>
            <w:pPr>
              <w:spacing w:after="0" w:line="183" w:lineRule="exact"/>
              <w:rPr>
                <w:sz w:val="20"/>
                <w:szCs w:val="20"/>
                <w:color w:val="auto"/>
              </w:rPr>
            </w:pPr>
            <w:r>
              <w:rPr>
                <w:rFonts w:ascii="Arial" w:cs="Arial" w:eastAsia="Arial" w:hAnsi="Arial"/>
                <w:sz w:val="16"/>
                <w:szCs w:val="16"/>
                <w:b w:val="1"/>
                <w:bCs w:val="1"/>
                <w:i w:val="1"/>
                <w:iCs w:val="1"/>
                <w:color w:val="auto"/>
              </w:rPr>
              <w:t>performance based, as they provide value to employees only</w:t>
            </w:r>
          </w:p>
        </w:tc>
        <w:tc>
          <w:tcPr>
            <w:tcW w:w="620" w:type="dxa"/>
            <w:vAlign w:val="bottom"/>
          </w:tcPr>
          <w:p>
            <w:pPr>
              <w:ind w:left="340"/>
              <w:spacing w:after="0" w:line="183" w:lineRule="exact"/>
              <w:rPr>
                <w:sz w:val="20"/>
                <w:szCs w:val="20"/>
                <w:color w:val="auto"/>
              </w:rPr>
            </w:pPr>
            <w:r>
              <w:rPr>
                <w:rFonts w:ascii="Arial" w:cs="Arial" w:eastAsia="Arial" w:hAnsi="Arial"/>
                <w:sz w:val="16"/>
                <w:szCs w:val="16"/>
                <w:color w:val="5668B0"/>
              </w:rPr>
              <w:t>•</w:t>
            </w:r>
          </w:p>
        </w:tc>
        <w:tc>
          <w:tcPr>
            <w:tcW w:w="1220" w:type="dxa"/>
            <w:vAlign w:val="bottom"/>
          </w:tcPr>
          <w:p>
            <w:pPr>
              <w:ind w:left="220"/>
              <w:spacing w:after="0" w:line="183" w:lineRule="exact"/>
              <w:rPr>
                <w:sz w:val="20"/>
                <w:szCs w:val="20"/>
                <w:color w:val="auto"/>
              </w:rPr>
            </w:pPr>
            <w:r>
              <w:rPr>
                <w:rFonts w:ascii="Arial" w:cs="Arial" w:eastAsia="Arial" w:hAnsi="Arial"/>
                <w:sz w:val="16"/>
                <w:szCs w:val="16"/>
                <w:b w:val="1"/>
                <w:bCs w:val="1"/>
                <w:i w:val="1"/>
                <w:iCs w:val="1"/>
                <w:color w:val="auto"/>
              </w:rPr>
              <w:t>We   believe</w:t>
            </w:r>
          </w:p>
        </w:tc>
        <w:tc>
          <w:tcPr>
            <w:tcW w:w="1800" w:type="dxa"/>
            <w:vAlign w:val="bottom"/>
            <w:gridSpan w:val="4"/>
          </w:tcPr>
          <w:p>
            <w:pPr>
              <w:jc w:val="center"/>
              <w:spacing w:after="0" w:line="183" w:lineRule="exact"/>
              <w:rPr>
                <w:sz w:val="20"/>
                <w:szCs w:val="20"/>
                <w:color w:val="auto"/>
              </w:rPr>
            </w:pPr>
            <w:r>
              <w:rPr>
                <w:rFonts w:ascii="Arial" w:cs="Arial" w:eastAsia="Arial" w:hAnsi="Arial"/>
                <w:sz w:val="16"/>
                <w:szCs w:val="16"/>
                <w:b w:val="1"/>
                <w:bCs w:val="1"/>
                <w:i w:val="1"/>
                <w:iCs w:val="1"/>
                <w:color w:val="auto"/>
              </w:rPr>
              <w:t>in   year-over-year</w:t>
            </w:r>
          </w:p>
        </w:tc>
        <w:tc>
          <w:tcPr>
            <w:tcW w:w="1000" w:type="dxa"/>
            <w:vAlign w:val="bottom"/>
            <w:gridSpan w:val="3"/>
          </w:tcPr>
          <w:p>
            <w:pPr>
              <w:ind w:left="20"/>
              <w:spacing w:after="0" w:line="183" w:lineRule="exact"/>
              <w:rPr>
                <w:sz w:val="20"/>
                <w:szCs w:val="20"/>
                <w:color w:val="auto"/>
              </w:rPr>
            </w:pPr>
            <w:r>
              <w:rPr>
                <w:rFonts w:ascii="Arial" w:cs="Arial" w:eastAsia="Arial" w:hAnsi="Arial"/>
                <w:sz w:val="16"/>
                <w:szCs w:val="16"/>
                <w:b w:val="1"/>
                <w:bCs w:val="1"/>
                <w:i w:val="1"/>
                <w:iCs w:val="1"/>
                <w:color w:val="auto"/>
              </w:rPr>
              <w:t>consistency</w:t>
            </w:r>
          </w:p>
        </w:tc>
        <w:tc>
          <w:tcPr>
            <w:tcW w:w="480" w:type="dxa"/>
            <w:vAlign w:val="bottom"/>
          </w:tcPr>
          <w:p>
            <w:pPr>
              <w:ind w:left="160"/>
              <w:spacing w:after="0" w:line="183" w:lineRule="exact"/>
              <w:rPr>
                <w:sz w:val="20"/>
                <w:szCs w:val="20"/>
                <w:color w:val="auto"/>
              </w:rPr>
            </w:pPr>
            <w:r>
              <w:rPr>
                <w:rFonts w:ascii="Arial" w:cs="Arial" w:eastAsia="Arial" w:hAnsi="Arial"/>
                <w:sz w:val="16"/>
                <w:szCs w:val="16"/>
                <w:b w:val="1"/>
                <w:bCs w:val="1"/>
                <w:i w:val="1"/>
                <w:iCs w:val="1"/>
                <w:color w:val="auto"/>
              </w:rPr>
              <w:t>in</w:t>
            </w:r>
          </w:p>
        </w:tc>
        <w:tc>
          <w:tcPr>
            <w:tcW w:w="580" w:type="dxa"/>
            <w:vAlign w:val="bottom"/>
          </w:tcPr>
          <w:p>
            <w:pPr>
              <w:jc w:val="right"/>
              <w:spacing w:after="0" w:line="183" w:lineRule="exact"/>
              <w:rPr>
                <w:sz w:val="20"/>
                <w:szCs w:val="20"/>
                <w:color w:val="auto"/>
              </w:rPr>
            </w:pPr>
            <w:r>
              <w:rPr>
                <w:rFonts w:ascii="Arial" w:cs="Arial" w:eastAsia="Arial" w:hAnsi="Arial"/>
                <w:sz w:val="16"/>
                <w:szCs w:val="16"/>
                <w:b w:val="1"/>
                <w:bCs w:val="1"/>
                <w:i w:val="1"/>
                <w:iCs w:val="1"/>
                <w:color w:val="auto"/>
                <w:w w:val="99"/>
              </w:rPr>
              <w:t>making</w:t>
            </w:r>
          </w:p>
        </w:tc>
        <w:tc>
          <w:tcPr>
            <w:tcW w:w="0" w:type="dxa"/>
            <w:vAlign w:val="bottom"/>
          </w:tcPr>
          <w:p>
            <w:pPr>
              <w:spacing w:after="0"/>
              <w:rPr>
                <w:sz w:val="1"/>
                <w:szCs w:val="1"/>
                <w:color w:val="auto"/>
              </w:rPr>
            </w:pPr>
          </w:p>
        </w:tc>
      </w:tr>
      <w:tr>
        <w:trPr>
          <w:trHeight w:val="190"/>
        </w:trPr>
        <w:tc>
          <w:tcPr>
            <w:tcW w:w="5220" w:type="dxa"/>
            <w:vAlign w:val="bottom"/>
            <w:gridSpan w:val="3"/>
          </w:tcPr>
          <w:p>
            <w:pPr>
              <w:jc w:val="right"/>
              <w:ind w:right="278"/>
              <w:spacing w:after="0"/>
              <w:rPr>
                <w:sz w:val="20"/>
                <w:szCs w:val="20"/>
                <w:color w:val="auto"/>
              </w:rPr>
            </w:pPr>
            <w:r>
              <w:rPr>
                <w:rFonts w:ascii="Arial" w:cs="Arial" w:eastAsia="Arial" w:hAnsi="Arial"/>
                <w:sz w:val="16"/>
                <w:szCs w:val="16"/>
                <w:b w:val="1"/>
                <w:bCs w:val="1"/>
                <w:i w:val="1"/>
                <w:iCs w:val="1"/>
                <w:color w:val="auto"/>
              </w:rPr>
              <w:t>if there is future stock price appreciation and do not provide</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b w:val="1"/>
                <w:bCs w:val="1"/>
                <w:i w:val="1"/>
                <w:iCs w:val="1"/>
                <w:color w:val="auto"/>
              </w:rPr>
              <w:t>compensation decisions and in striking a balance between</w:t>
            </w:r>
          </w:p>
        </w:tc>
        <w:tc>
          <w:tcPr>
            <w:tcW w:w="0" w:type="dxa"/>
            <w:vAlign w:val="bottom"/>
          </w:tcPr>
          <w:p>
            <w:pPr>
              <w:spacing w:after="0"/>
              <w:rPr>
                <w:sz w:val="1"/>
                <w:szCs w:val="1"/>
                <w:color w:val="auto"/>
              </w:rPr>
            </w:pPr>
          </w:p>
        </w:tc>
      </w:tr>
      <w:tr>
        <w:trPr>
          <w:trHeight w:val="190"/>
        </w:trPr>
        <w:tc>
          <w:tcPr>
            <w:tcW w:w="5220" w:type="dxa"/>
            <w:vAlign w:val="bottom"/>
            <w:gridSpan w:val="3"/>
          </w:tcPr>
          <w:p>
            <w:pPr>
              <w:jc w:val="right"/>
              <w:ind w:right="278"/>
              <w:spacing w:after="0"/>
              <w:rPr>
                <w:sz w:val="20"/>
                <w:szCs w:val="20"/>
                <w:color w:val="auto"/>
              </w:rPr>
            </w:pPr>
            <w:r>
              <w:rPr>
                <w:rFonts w:ascii="Arial" w:cs="Arial" w:eastAsia="Arial" w:hAnsi="Arial"/>
                <w:sz w:val="16"/>
                <w:szCs w:val="16"/>
                <w:b w:val="1"/>
                <w:bCs w:val="1"/>
                <w:i w:val="1"/>
                <w:iCs w:val="1"/>
                <w:color w:val="auto"/>
              </w:rPr>
              <w:t>any value to employees if the stock price declines below the</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b w:val="1"/>
                <w:bCs w:val="1"/>
                <w:i w:val="1"/>
                <w:iCs w:val="1"/>
                <w:color w:val="auto"/>
              </w:rPr>
              <w:t>the dilutive impact of equity grants and the competitiveness</w:t>
            </w:r>
          </w:p>
        </w:tc>
        <w:tc>
          <w:tcPr>
            <w:tcW w:w="0" w:type="dxa"/>
            <w:vAlign w:val="bottom"/>
          </w:tcPr>
          <w:p>
            <w:pPr>
              <w:spacing w:after="0"/>
              <w:rPr>
                <w:sz w:val="1"/>
                <w:szCs w:val="1"/>
                <w:color w:val="auto"/>
              </w:rPr>
            </w:pPr>
          </w:p>
        </w:tc>
      </w:tr>
      <w:tr>
        <w:trPr>
          <w:trHeight w:val="210"/>
        </w:trPr>
        <w:tc>
          <w:tcPr>
            <w:tcW w:w="14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exercise price.</w:t>
            </w:r>
          </w:p>
        </w:tc>
        <w:tc>
          <w:tcPr>
            <w:tcW w:w="3760" w:type="dxa"/>
            <w:vAlign w:val="bottom"/>
          </w:tcPr>
          <w:p>
            <w:pPr>
              <w:jc w:val="right"/>
              <w:ind w:right="278"/>
              <w:spacing w:after="0"/>
              <w:rPr>
                <w:sz w:val="20"/>
                <w:szCs w:val="20"/>
                <w:color w:val="auto"/>
              </w:rPr>
            </w:pPr>
            <w:r>
              <w:rPr>
                <w:rFonts w:ascii="Arial" w:cs="Arial" w:eastAsia="Arial" w:hAnsi="Arial"/>
                <w:sz w:val="16"/>
                <w:szCs w:val="16"/>
                <w:color w:val="auto"/>
              </w:rPr>
              <w:t>As illustrated by the charts in "Section 2 –</w:t>
            </w:r>
          </w:p>
        </w:tc>
        <w:tc>
          <w:tcPr>
            <w:tcW w:w="620" w:type="dxa"/>
            <w:vAlign w:val="bottom"/>
          </w:tcPr>
          <w:p>
            <w:pPr>
              <w:spacing w:after="0"/>
              <w:rPr>
                <w:sz w:val="18"/>
                <w:szCs w:val="18"/>
                <w:color w:val="auto"/>
              </w:rPr>
            </w:pPr>
          </w:p>
        </w:tc>
        <w:tc>
          <w:tcPr>
            <w:tcW w:w="2760" w:type="dxa"/>
            <w:vAlign w:val="bottom"/>
            <w:gridSpan w:val="4"/>
          </w:tcPr>
          <w:p>
            <w:pPr>
              <w:ind w:left="220"/>
              <w:spacing w:after="0"/>
              <w:rPr>
                <w:sz w:val="20"/>
                <w:szCs w:val="20"/>
                <w:color w:val="auto"/>
              </w:rPr>
            </w:pPr>
            <w:r>
              <w:rPr>
                <w:rFonts w:ascii="Arial" w:cs="Arial" w:eastAsia="Arial" w:hAnsi="Arial"/>
                <w:sz w:val="16"/>
                <w:szCs w:val="16"/>
                <w:b w:val="1"/>
                <w:bCs w:val="1"/>
                <w:i w:val="1"/>
                <w:iCs w:val="1"/>
                <w:color w:val="auto"/>
              </w:rPr>
              <w:t>of our compensation program.</w:t>
            </w:r>
          </w:p>
        </w:tc>
        <w:tc>
          <w:tcPr>
            <w:tcW w:w="2320" w:type="dxa"/>
            <w:vAlign w:val="bottom"/>
            <w:gridSpan w:val="6"/>
          </w:tcPr>
          <w:p>
            <w:pPr>
              <w:jc w:val="right"/>
              <w:spacing w:after="0"/>
              <w:rPr>
                <w:sz w:val="20"/>
                <w:szCs w:val="20"/>
                <w:color w:val="auto"/>
              </w:rPr>
            </w:pPr>
            <w:r>
              <w:rPr>
                <w:rFonts w:ascii="Arial" w:cs="Arial" w:eastAsia="Arial" w:hAnsi="Arial"/>
                <w:sz w:val="16"/>
                <w:szCs w:val="16"/>
                <w:color w:val="auto"/>
              </w:rPr>
              <w:t>In our compensation decisions,</w:t>
            </w:r>
          </w:p>
        </w:tc>
        <w:tc>
          <w:tcPr>
            <w:tcW w:w="0" w:type="dxa"/>
            <w:vAlign w:val="bottom"/>
          </w:tcPr>
          <w:p>
            <w:pPr>
              <w:spacing w:after="0"/>
              <w:rPr>
                <w:sz w:val="1"/>
                <w:szCs w:val="1"/>
                <w:color w:val="auto"/>
              </w:rPr>
            </w:pPr>
          </w:p>
        </w:tc>
      </w:tr>
      <w:tr>
        <w:trPr>
          <w:trHeight w:val="190"/>
        </w:trPr>
        <w:tc>
          <w:tcPr>
            <w:tcW w:w="5220" w:type="dxa"/>
            <w:vAlign w:val="bottom"/>
            <w:gridSpan w:val="3"/>
          </w:tcPr>
          <w:p>
            <w:pPr>
              <w:jc w:val="right"/>
              <w:ind w:right="258"/>
              <w:spacing w:after="0"/>
              <w:rPr>
                <w:sz w:val="20"/>
                <w:szCs w:val="20"/>
                <w:color w:val="auto"/>
              </w:rPr>
            </w:pPr>
            <w:r>
              <w:rPr>
                <w:rFonts w:ascii="Arial" w:cs="Arial" w:eastAsia="Arial" w:hAnsi="Arial"/>
                <w:sz w:val="16"/>
                <w:szCs w:val="16"/>
                <w:color w:val="auto"/>
              </w:rPr>
              <w:t>Analysis   of   2015   Executive   Compensation   Based   on</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we focus on the number of shares underlying equity awards</w:t>
            </w:r>
          </w:p>
        </w:tc>
        <w:tc>
          <w:tcPr>
            <w:tcW w:w="0" w:type="dxa"/>
            <w:vAlign w:val="bottom"/>
          </w:tcPr>
          <w:p>
            <w:pPr>
              <w:spacing w:after="0"/>
              <w:rPr>
                <w:sz w:val="1"/>
                <w:szCs w:val="1"/>
                <w:color w:val="auto"/>
              </w:rPr>
            </w:pPr>
          </w:p>
        </w:tc>
      </w:tr>
      <w:tr>
        <w:trPr>
          <w:trHeight w:val="190"/>
        </w:trPr>
        <w:tc>
          <w:tcPr>
            <w:tcW w:w="5220" w:type="dxa"/>
            <w:vAlign w:val="bottom"/>
            <w:gridSpan w:val="3"/>
          </w:tcPr>
          <w:p>
            <w:pPr>
              <w:jc w:val="right"/>
              <w:ind w:right="278"/>
              <w:spacing w:after="0"/>
              <w:rPr>
                <w:sz w:val="20"/>
                <w:szCs w:val="20"/>
                <w:color w:val="auto"/>
              </w:rPr>
            </w:pPr>
            <w:r>
              <w:rPr>
                <w:rFonts w:ascii="Arial" w:cs="Arial" w:eastAsia="Arial" w:hAnsi="Arial"/>
                <w:sz w:val="16"/>
                <w:szCs w:val="16"/>
                <w:color w:val="auto"/>
              </w:rPr>
              <w:t>Compensation Objectives," this emphasis on stock options has</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relative  to  the  number  of  basic  shares  of  common  stock</w:t>
            </w:r>
          </w:p>
        </w:tc>
        <w:tc>
          <w:tcPr>
            <w:tcW w:w="0" w:type="dxa"/>
            <w:vAlign w:val="bottom"/>
          </w:tcPr>
          <w:p>
            <w:pPr>
              <w:spacing w:after="0"/>
              <w:rPr>
                <w:sz w:val="1"/>
                <w:szCs w:val="1"/>
                <w:color w:val="auto"/>
              </w:rPr>
            </w:pPr>
          </w:p>
        </w:tc>
      </w:tr>
      <w:tr>
        <w:trPr>
          <w:trHeight w:val="190"/>
        </w:trPr>
        <w:tc>
          <w:tcPr>
            <w:tcW w:w="5220" w:type="dxa"/>
            <w:vAlign w:val="bottom"/>
            <w:gridSpan w:val="3"/>
          </w:tcPr>
          <w:p>
            <w:pPr>
              <w:jc w:val="right"/>
              <w:ind w:right="258"/>
              <w:spacing w:after="0"/>
              <w:rPr>
                <w:sz w:val="20"/>
                <w:szCs w:val="20"/>
                <w:color w:val="auto"/>
              </w:rPr>
            </w:pPr>
            <w:r>
              <w:rPr>
                <w:rFonts w:ascii="Arial" w:cs="Arial" w:eastAsia="Arial" w:hAnsi="Arial"/>
                <w:sz w:val="16"/>
                <w:szCs w:val="16"/>
                <w:color w:val="auto"/>
              </w:rPr>
              <w:t>resulted  in  close  alignment  of  our  Chief  Executive  Officer's</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outstanding, rather than the grant date fair value of the award (as</w:t>
            </w:r>
          </w:p>
        </w:tc>
        <w:tc>
          <w:tcPr>
            <w:tcW w:w="0" w:type="dxa"/>
            <w:vAlign w:val="bottom"/>
          </w:tcPr>
          <w:p>
            <w:pPr>
              <w:spacing w:after="0"/>
              <w:rPr>
                <w:sz w:val="1"/>
                <w:szCs w:val="1"/>
                <w:color w:val="auto"/>
              </w:rPr>
            </w:pPr>
          </w:p>
        </w:tc>
      </w:tr>
      <w:tr>
        <w:trPr>
          <w:trHeight w:val="190"/>
        </w:trPr>
        <w:tc>
          <w:tcPr>
            <w:tcW w:w="5220" w:type="dxa"/>
            <w:vAlign w:val="bottom"/>
            <w:gridSpan w:val="3"/>
          </w:tcPr>
          <w:p>
            <w:pPr>
              <w:jc w:val="right"/>
              <w:ind w:right="278"/>
              <w:spacing w:after="0"/>
              <w:rPr>
                <w:sz w:val="20"/>
                <w:szCs w:val="20"/>
                <w:color w:val="auto"/>
              </w:rPr>
            </w:pPr>
            <w:r>
              <w:rPr>
                <w:rFonts w:ascii="Arial" w:cs="Arial" w:eastAsia="Arial" w:hAnsi="Arial"/>
                <w:sz w:val="16"/>
                <w:szCs w:val="16"/>
                <w:color w:val="auto"/>
              </w:rPr>
              <w:t>compensation in 2015 and over the last five years with the</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determined according to the Black-Scholes model). We believe</w:t>
            </w:r>
          </w:p>
        </w:tc>
        <w:tc>
          <w:tcPr>
            <w:tcW w:w="0" w:type="dxa"/>
            <w:vAlign w:val="bottom"/>
          </w:tcPr>
          <w:p>
            <w:pPr>
              <w:spacing w:after="0"/>
              <w:rPr>
                <w:sz w:val="1"/>
                <w:szCs w:val="1"/>
                <w:color w:val="auto"/>
              </w:rPr>
            </w:pPr>
          </w:p>
        </w:tc>
      </w:tr>
      <w:tr>
        <w:trPr>
          <w:trHeight w:val="190"/>
        </w:trPr>
        <w:tc>
          <w:tcPr>
            <w:tcW w:w="5220" w:type="dxa"/>
            <w:vAlign w:val="bottom"/>
            <w:gridSpan w:val="3"/>
          </w:tcPr>
          <w:p>
            <w:pPr>
              <w:spacing w:after="0"/>
              <w:rPr>
                <w:sz w:val="20"/>
                <w:szCs w:val="20"/>
                <w:color w:val="auto"/>
              </w:rPr>
            </w:pPr>
            <w:r>
              <w:rPr>
                <w:rFonts w:ascii="Arial" w:cs="Arial" w:eastAsia="Arial" w:hAnsi="Arial"/>
                <w:sz w:val="16"/>
                <w:szCs w:val="16"/>
                <w:color w:val="auto"/>
              </w:rPr>
              <w:t>performance of our common stock over those periods:</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this ownership- and dilution-based approach to awarding stock</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options provides a better measure of the amount of potential</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increases in shareholder value that would be shared by the</w:t>
            </w:r>
          </w:p>
        </w:tc>
        <w:tc>
          <w:tcPr>
            <w:tcW w:w="0" w:type="dxa"/>
            <w:vAlign w:val="bottom"/>
          </w:tcPr>
          <w:p>
            <w:pPr>
              <w:spacing w:after="0"/>
              <w:rPr>
                <w:sz w:val="1"/>
                <w:szCs w:val="1"/>
                <w:color w:val="auto"/>
              </w:rPr>
            </w:pPr>
          </w:p>
        </w:tc>
      </w:tr>
      <w:tr>
        <w:trPr>
          <w:trHeight w:val="190"/>
        </w:trPr>
        <w:tc>
          <w:tcPr>
            <w:tcW w:w="800" w:type="dxa"/>
            <w:vAlign w:val="bottom"/>
          </w:tcPr>
          <w:p>
            <w:pPr>
              <w:ind w:left="520"/>
              <w:spacing w:after="0"/>
              <w:rPr>
                <w:sz w:val="20"/>
                <w:szCs w:val="20"/>
                <w:color w:val="auto"/>
              </w:rPr>
            </w:pPr>
            <w:r>
              <w:rPr>
                <w:rFonts w:ascii="Courier New" w:cs="Courier New" w:eastAsia="Courier New" w:hAnsi="Courier New"/>
                <w:sz w:val="13"/>
                <w:szCs w:val="13"/>
                <w:b w:val="1"/>
                <w:bCs w:val="1"/>
                <w:color w:val="5668B0"/>
              </w:rPr>
              <w:t>o</w:t>
            </w: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Both in 2015 and over the five-year period ended</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awards and allows us to evaluate such grants on a consistent</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December 31, 2015, the year-over-year increases in</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basis  as  compared  to  other  companies  and  regardless  of</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our Chief Executive Officer's compensation were</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fluctuations  in  the  price  of  Regeneron's  or  other  companies'</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principally attributable to the significant appreciation</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common stock. Further, focusing on the number of shares and the</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58"/>
              <w:spacing w:after="0"/>
              <w:rPr>
                <w:sz w:val="20"/>
                <w:szCs w:val="20"/>
                <w:color w:val="auto"/>
              </w:rPr>
            </w:pPr>
            <w:r>
              <w:rPr>
                <w:rFonts w:ascii="Arial" w:cs="Arial" w:eastAsia="Arial" w:hAnsi="Arial"/>
                <w:sz w:val="16"/>
                <w:szCs w:val="16"/>
                <w:color w:val="auto"/>
              </w:rPr>
              <w:t>in our stock price, which increased the reported</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incremental sharing rate of potential future upside (rather than</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58"/>
              <w:spacing w:after="0"/>
              <w:rPr>
                <w:sz w:val="20"/>
                <w:szCs w:val="20"/>
                <w:color w:val="auto"/>
              </w:rPr>
            </w:pPr>
            <w:r>
              <w:rPr>
                <w:rFonts w:ascii="Arial" w:cs="Arial" w:eastAsia="Arial" w:hAnsi="Arial"/>
                <w:sz w:val="16"/>
                <w:szCs w:val="16"/>
                <w:color w:val="auto"/>
              </w:rPr>
              <w:t>grant date fair value of our Chief Executive Officer's</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targeting a specific Black-Scholes grant date fair value) avoids</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stock option awards as determined according to the</w:t>
            </w:r>
          </w:p>
        </w:tc>
        <w:tc>
          <w:tcPr>
            <w:tcW w:w="620" w:type="dxa"/>
            <w:vAlign w:val="bottom"/>
          </w:tcPr>
          <w:p>
            <w:pPr>
              <w:spacing w:after="0"/>
              <w:rPr>
                <w:sz w:val="16"/>
                <w:szCs w:val="16"/>
                <w:color w:val="auto"/>
              </w:rPr>
            </w:pPr>
          </w:p>
        </w:tc>
        <w:tc>
          <w:tcPr>
            <w:tcW w:w="5080" w:type="dxa"/>
            <w:vAlign w:val="bottom"/>
            <w:gridSpan w:val="10"/>
          </w:tcPr>
          <w:p>
            <w:pPr>
              <w:ind w:left="220"/>
              <w:spacing w:after="0"/>
              <w:rPr>
                <w:sz w:val="20"/>
                <w:szCs w:val="20"/>
                <w:color w:val="auto"/>
              </w:rPr>
            </w:pPr>
            <w:r>
              <w:rPr>
                <w:rFonts w:ascii="Arial" w:cs="Arial" w:eastAsia="Arial" w:hAnsi="Arial"/>
                <w:sz w:val="16"/>
                <w:szCs w:val="16"/>
                <w:color w:val="auto"/>
              </w:rPr>
              <w:t>rewarding officers with larger grant sizes following a decline in our</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Black-Scholes model for valuing stock options.</w:t>
            </w:r>
          </w:p>
        </w:tc>
        <w:tc>
          <w:tcPr>
            <w:tcW w:w="620" w:type="dxa"/>
            <w:vAlign w:val="bottom"/>
          </w:tcPr>
          <w:p>
            <w:pPr>
              <w:spacing w:after="0"/>
              <w:rPr>
                <w:sz w:val="19"/>
                <w:szCs w:val="19"/>
                <w:color w:val="auto"/>
              </w:rPr>
            </w:pPr>
          </w:p>
        </w:tc>
        <w:tc>
          <w:tcPr>
            <w:tcW w:w="1220" w:type="dxa"/>
            <w:vAlign w:val="bottom"/>
          </w:tcPr>
          <w:p>
            <w:pPr>
              <w:ind w:left="220"/>
              <w:spacing w:after="0"/>
              <w:rPr>
                <w:sz w:val="20"/>
                <w:szCs w:val="20"/>
                <w:color w:val="auto"/>
              </w:rPr>
            </w:pPr>
            <w:r>
              <w:rPr>
                <w:rFonts w:ascii="Arial" w:cs="Arial" w:eastAsia="Arial" w:hAnsi="Arial"/>
                <w:sz w:val="16"/>
                <w:szCs w:val="16"/>
                <w:color w:val="auto"/>
              </w:rPr>
              <w:t>stock price.</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800" w:type="dxa"/>
            <w:vAlign w:val="bottom"/>
          </w:tcPr>
          <w:p>
            <w:pPr>
              <w:ind w:left="520"/>
              <w:spacing w:after="0"/>
              <w:rPr>
                <w:sz w:val="20"/>
                <w:szCs w:val="20"/>
                <w:color w:val="auto"/>
              </w:rPr>
            </w:pPr>
            <w:r>
              <w:rPr>
                <w:rFonts w:ascii="Courier New" w:cs="Courier New" w:eastAsia="Courier New" w:hAnsi="Courier New"/>
                <w:sz w:val="13"/>
                <w:szCs w:val="13"/>
                <w:b w:val="1"/>
                <w:bCs w:val="1"/>
                <w:color w:val="5668B0"/>
              </w:rPr>
              <w:t>o</w:t>
            </w:r>
          </w:p>
        </w:tc>
        <w:tc>
          <w:tcPr>
            <w:tcW w:w="660" w:type="dxa"/>
            <w:vAlign w:val="bottom"/>
          </w:tcPr>
          <w:p>
            <w:pPr>
              <w:ind w:left="220"/>
              <w:spacing w:after="0"/>
              <w:rPr>
                <w:sz w:val="20"/>
                <w:szCs w:val="20"/>
                <w:color w:val="auto"/>
              </w:rPr>
            </w:pPr>
            <w:r>
              <w:rPr>
                <w:rFonts w:ascii="Arial" w:cs="Arial" w:eastAsia="Arial" w:hAnsi="Arial"/>
                <w:sz w:val="16"/>
                <w:szCs w:val="16"/>
                <w:color w:val="auto"/>
              </w:rPr>
              <w:t>Over</w:t>
            </w:r>
          </w:p>
        </w:tc>
        <w:tc>
          <w:tcPr>
            <w:tcW w:w="3760" w:type="dxa"/>
            <w:vAlign w:val="bottom"/>
          </w:tcPr>
          <w:p>
            <w:pPr>
              <w:jc w:val="right"/>
              <w:ind w:right="278"/>
              <w:spacing w:after="0"/>
              <w:rPr>
                <w:sz w:val="20"/>
                <w:szCs w:val="20"/>
                <w:color w:val="auto"/>
              </w:rPr>
            </w:pPr>
            <w:r>
              <w:rPr>
                <w:rFonts w:ascii="Arial" w:cs="Arial" w:eastAsia="Arial" w:hAnsi="Arial"/>
                <w:sz w:val="16"/>
                <w:szCs w:val="16"/>
                <w:color w:val="auto"/>
              </w:rPr>
              <w:t>the same periods, the Black-Scholes grant</w:t>
            </w:r>
          </w:p>
        </w:tc>
        <w:tc>
          <w:tcPr>
            <w:tcW w:w="620" w:type="dxa"/>
            <w:vAlign w:val="bottom"/>
          </w:tcPr>
          <w:p>
            <w:pPr>
              <w:spacing w:after="0"/>
              <w:rPr>
                <w:sz w:val="24"/>
                <w:szCs w:val="24"/>
                <w:color w:val="auto"/>
              </w:rPr>
            </w:pPr>
          </w:p>
        </w:tc>
        <w:tc>
          <w:tcPr>
            <w:tcW w:w="1220" w:type="dxa"/>
            <w:vAlign w:val="bottom"/>
            <w:vMerge w:val="restart"/>
          </w:tcPr>
          <w:p>
            <w:pPr>
              <w:ind w:left="720"/>
              <w:spacing w:after="0"/>
              <w:rPr>
                <w:sz w:val="20"/>
                <w:szCs w:val="20"/>
                <w:color w:val="auto"/>
              </w:rPr>
            </w:pPr>
            <w:r>
              <w:rPr>
                <w:rFonts w:ascii="Courier New" w:cs="Courier New" w:eastAsia="Courier New" w:hAnsi="Courier New"/>
                <w:sz w:val="13"/>
                <w:szCs w:val="13"/>
                <w:b w:val="1"/>
                <w:bCs w:val="1"/>
                <w:color w:val="5668B0"/>
              </w:rPr>
              <w:t>o</w:t>
            </w:r>
          </w:p>
        </w:tc>
        <w:tc>
          <w:tcPr>
            <w:tcW w:w="540" w:type="dxa"/>
            <w:vAlign w:val="bottom"/>
            <w:vMerge w:val="restart"/>
          </w:tcPr>
          <w:p>
            <w:pPr>
              <w:ind w:left="20"/>
              <w:spacing w:after="0"/>
              <w:rPr>
                <w:sz w:val="20"/>
                <w:szCs w:val="20"/>
                <w:color w:val="auto"/>
              </w:rPr>
            </w:pPr>
            <w:r>
              <w:rPr>
                <w:rFonts w:ascii="Arial" w:cs="Arial" w:eastAsia="Arial" w:hAnsi="Arial"/>
                <w:sz w:val="16"/>
                <w:szCs w:val="16"/>
                <w:color w:val="auto"/>
              </w:rPr>
              <w:t>As  a</w:t>
            </w:r>
          </w:p>
        </w:tc>
        <w:tc>
          <w:tcPr>
            <w:tcW w:w="100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rPr>
              <w:t>percentage</w:t>
            </w:r>
          </w:p>
        </w:tc>
        <w:tc>
          <w:tcPr>
            <w:tcW w:w="260" w:type="dxa"/>
            <w:vAlign w:val="bottom"/>
            <w:vMerge w:val="restart"/>
          </w:tcPr>
          <w:p>
            <w:pPr>
              <w:ind w:left="80"/>
              <w:spacing w:after="0"/>
              <w:rPr>
                <w:sz w:val="20"/>
                <w:szCs w:val="20"/>
                <w:color w:val="auto"/>
              </w:rPr>
            </w:pPr>
            <w:r>
              <w:rPr>
                <w:rFonts w:ascii="Arial" w:cs="Arial" w:eastAsia="Arial" w:hAnsi="Arial"/>
                <w:sz w:val="16"/>
                <w:szCs w:val="16"/>
                <w:color w:val="auto"/>
              </w:rPr>
              <w:t>of</w:t>
            </w:r>
          </w:p>
        </w:tc>
        <w:tc>
          <w:tcPr>
            <w:tcW w:w="460" w:type="dxa"/>
            <w:vAlign w:val="bottom"/>
            <w:gridSpan w:val="2"/>
            <w:vMerge w:val="restart"/>
          </w:tcPr>
          <w:p>
            <w:pPr>
              <w:ind w:left="140"/>
              <w:spacing w:after="0"/>
              <w:rPr>
                <w:sz w:val="20"/>
                <w:szCs w:val="20"/>
                <w:color w:val="auto"/>
              </w:rPr>
            </w:pPr>
            <w:r>
              <w:rPr>
                <w:rFonts w:ascii="Arial" w:cs="Arial" w:eastAsia="Arial" w:hAnsi="Arial"/>
                <w:sz w:val="16"/>
                <w:szCs w:val="16"/>
                <w:color w:val="auto"/>
              </w:rPr>
              <w:t>the</w:t>
            </w:r>
          </w:p>
        </w:tc>
        <w:tc>
          <w:tcPr>
            <w:tcW w:w="540" w:type="dxa"/>
            <w:vAlign w:val="bottom"/>
            <w:vMerge w:val="restart"/>
          </w:tcPr>
          <w:p>
            <w:pPr>
              <w:ind w:left="80"/>
              <w:spacing w:after="0"/>
              <w:rPr>
                <w:sz w:val="20"/>
                <w:szCs w:val="20"/>
                <w:color w:val="auto"/>
              </w:rPr>
            </w:pPr>
            <w:r>
              <w:rPr>
                <w:rFonts w:ascii="Arial" w:cs="Arial" w:eastAsia="Arial" w:hAnsi="Arial"/>
                <w:sz w:val="16"/>
                <w:szCs w:val="16"/>
                <w:color w:val="auto"/>
              </w:rPr>
              <w:t>total</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auto"/>
              </w:rPr>
              <w:t>basic</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shares</w:t>
            </w:r>
          </w:p>
        </w:tc>
        <w:tc>
          <w:tcPr>
            <w:tcW w:w="0" w:type="dxa"/>
            <w:vAlign w:val="bottom"/>
          </w:tcPr>
          <w:p>
            <w:pPr>
              <w:spacing w:after="0"/>
              <w:rPr>
                <w:sz w:val="1"/>
                <w:szCs w:val="1"/>
                <w:color w:val="auto"/>
              </w:rPr>
            </w:pPr>
          </w:p>
        </w:tc>
      </w:tr>
      <w:tr>
        <w:trPr>
          <w:trHeight w:val="177"/>
        </w:trPr>
        <w:tc>
          <w:tcPr>
            <w:tcW w:w="800" w:type="dxa"/>
            <w:vAlign w:val="bottom"/>
          </w:tcPr>
          <w:p>
            <w:pPr>
              <w:spacing w:after="0"/>
              <w:rPr>
                <w:sz w:val="15"/>
                <w:szCs w:val="15"/>
                <w:color w:val="auto"/>
              </w:rPr>
            </w:pPr>
          </w:p>
        </w:tc>
        <w:tc>
          <w:tcPr>
            <w:tcW w:w="4420" w:type="dxa"/>
            <w:vAlign w:val="bottom"/>
            <w:gridSpan w:val="2"/>
          </w:tcPr>
          <w:p>
            <w:pPr>
              <w:jc w:val="right"/>
              <w:ind w:right="278"/>
              <w:spacing w:after="0" w:line="178" w:lineRule="exact"/>
              <w:rPr>
                <w:sz w:val="20"/>
                <w:szCs w:val="20"/>
                <w:color w:val="auto"/>
              </w:rPr>
            </w:pPr>
            <w:r>
              <w:rPr>
                <w:rFonts w:ascii="Arial" w:cs="Arial" w:eastAsia="Arial" w:hAnsi="Arial"/>
                <w:sz w:val="16"/>
                <w:szCs w:val="16"/>
                <w:color w:val="auto"/>
              </w:rPr>
              <w:t>date fair value of stock option grants to our Chief</w:t>
            </w:r>
          </w:p>
        </w:tc>
        <w:tc>
          <w:tcPr>
            <w:tcW w:w="6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58"/>
              <w:spacing w:after="0"/>
              <w:rPr>
                <w:sz w:val="20"/>
                <w:szCs w:val="20"/>
                <w:color w:val="auto"/>
              </w:rPr>
            </w:pPr>
            <w:r>
              <w:rPr>
                <w:rFonts w:ascii="Arial" w:cs="Arial" w:eastAsia="Arial" w:hAnsi="Arial"/>
                <w:sz w:val="16"/>
                <w:szCs w:val="16"/>
                <w:color w:val="auto"/>
              </w:rPr>
              <w:t>Executive   Officer   increased   less   than   the</w:t>
            </w: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60" w:type="dxa"/>
            <w:vAlign w:val="bottom"/>
            <w:gridSpan w:val="9"/>
          </w:tcPr>
          <w:p>
            <w:pPr>
              <w:ind w:left="20"/>
              <w:spacing w:after="0"/>
              <w:rPr>
                <w:sz w:val="20"/>
                <w:szCs w:val="20"/>
                <w:color w:val="auto"/>
              </w:rPr>
            </w:pPr>
            <w:r>
              <w:rPr>
                <w:rFonts w:ascii="Arial" w:cs="Arial" w:eastAsia="Arial" w:hAnsi="Arial"/>
                <w:sz w:val="16"/>
                <w:szCs w:val="16"/>
                <w:color w:val="auto"/>
              </w:rPr>
              <w:t>outstanding, the 2015 stock option award to our</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appreciation of our stock price, in part because the</w:t>
            </w: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60" w:type="dxa"/>
            <w:vAlign w:val="bottom"/>
            <w:gridSpan w:val="9"/>
          </w:tcPr>
          <w:p>
            <w:pPr>
              <w:ind w:left="20"/>
              <w:spacing w:after="0"/>
              <w:rPr>
                <w:sz w:val="20"/>
                <w:szCs w:val="20"/>
                <w:color w:val="auto"/>
              </w:rPr>
            </w:pPr>
            <w:r>
              <w:rPr>
                <w:rFonts w:ascii="Arial" w:cs="Arial" w:eastAsia="Arial" w:hAnsi="Arial"/>
                <w:sz w:val="16"/>
                <w:szCs w:val="16"/>
                <w:color w:val="auto"/>
              </w:rPr>
              <w:t>Chief Executive Officer was significantly below the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420" w:type="dxa"/>
            <w:vAlign w:val="bottom"/>
            <w:gridSpan w:val="2"/>
          </w:tcPr>
          <w:p>
            <w:pPr>
              <w:jc w:val="right"/>
              <w:ind w:right="258"/>
              <w:spacing w:after="0"/>
              <w:rPr>
                <w:sz w:val="20"/>
                <w:szCs w:val="20"/>
                <w:color w:val="auto"/>
              </w:rPr>
            </w:pPr>
            <w:r>
              <w:rPr>
                <w:rFonts w:ascii="Arial" w:cs="Arial" w:eastAsia="Arial" w:hAnsi="Arial"/>
                <w:sz w:val="16"/>
                <w:szCs w:val="16"/>
                <w:color w:val="auto"/>
              </w:rPr>
              <w:t>absolute number of stock options granted to our</w:t>
            </w: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60" w:type="dxa"/>
            <w:vAlign w:val="bottom"/>
            <w:gridSpan w:val="9"/>
          </w:tcPr>
          <w:p>
            <w:pPr>
              <w:ind w:left="20"/>
              <w:spacing w:after="0" w:line="203" w:lineRule="exact"/>
              <w:rPr>
                <w:sz w:val="20"/>
                <w:szCs w:val="20"/>
                <w:color w:val="auto"/>
              </w:rPr>
            </w:pPr>
            <w:r>
              <w:rPr>
                <w:rFonts w:ascii="Arial" w:cs="Arial" w:eastAsia="Arial" w:hAnsi="Arial"/>
                <w:sz w:val="14"/>
                <w:szCs w:val="14"/>
                <w:color w:val="auto"/>
              </w:rPr>
              <w:t>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of the companies included in the</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Chief Executive Officer decreased in the last three</w:t>
            </w: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60" w:type="dxa"/>
            <w:vAlign w:val="bottom"/>
            <w:gridSpan w:val="9"/>
          </w:tcPr>
          <w:p>
            <w:pPr>
              <w:ind w:left="20"/>
              <w:spacing w:after="0"/>
              <w:rPr>
                <w:sz w:val="20"/>
                <w:szCs w:val="20"/>
                <w:color w:val="auto"/>
              </w:rPr>
            </w:pPr>
            <w:r>
              <w:rPr>
                <w:rFonts w:ascii="Arial" w:cs="Arial" w:eastAsia="Arial" w:hAnsi="Arial"/>
                <w:sz w:val="16"/>
                <w:szCs w:val="16"/>
                <w:color w:val="auto"/>
              </w:rPr>
              <w:t>2015 Radford Global Life Sciences Survey and only</w:t>
            </w: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years. The number of shares underlying the annual</w:t>
            </w: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slightly</w:t>
            </w:r>
          </w:p>
        </w:tc>
        <w:tc>
          <w:tcPr>
            <w:tcW w:w="720" w:type="dxa"/>
            <w:vAlign w:val="bottom"/>
          </w:tcPr>
          <w:p>
            <w:pPr>
              <w:jc w:val="center"/>
              <w:spacing w:after="0"/>
              <w:rPr>
                <w:sz w:val="20"/>
                <w:szCs w:val="20"/>
                <w:color w:val="auto"/>
              </w:rPr>
            </w:pPr>
            <w:r>
              <w:rPr>
                <w:rFonts w:ascii="Arial" w:cs="Arial" w:eastAsia="Arial" w:hAnsi="Arial"/>
                <w:sz w:val="16"/>
                <w:szCs w:val="16"/>
                <w:color w:val="auto"/>
              </w:rPr>
              <w:t>above</w:t>
            </w:r>
          </w:p>
        </w:tc>
        <w:tc>
          <w:tcPr>
            <w:tcW w:w="280" w:type="dxa"/>
            <w:vAlign w:val="bottom"/>
          </w:tcPr>
          <w:p>
            <w:pPr>
              <w:jc w:val="right"/>
              <w:spacing w:after="0"/>
              <w:rPr>
                <w:sz w:val="20"/>
                <w:szCs w:val="20"/>
                <w:color w:val="auto"/>
              </w:rPr>
            </w:pPr>
            <w:r>
              <w:rPr>
                <w:rFonts w:ascii="Arial" w:cs="Arial" w:eastAsia="Arial" w:hAnsi="Arial"/>
                <w:sz w:val="16"/>
                <w:szCs w:val="16"/>
                <w:color w:val="auto"/>
                <w:w w:val="98"/>
              </w:rPr>
              <w:t>the</w:t>
            </w:r>
          </w:p>
        </w:tc>
        <w:tc>
          <w:tcPr>
            <w:tcW w:w="440" w:type="dxa"/>
            <w:vAlign w:val="bottom"/>
            <w:gridSpan w:val="2"/>
          </w:tcPr>
          <w:p>
            <w:pPr>
              <w:ind w:left="100"/>
              <w:spacing w:after="0" w:line="212" w:lineRule="exact"/>
              <w:rPr>
                <w:sz w:val="20"/>
                <w:szCs w:val="20"/>
                <w:color w:val="auto"/>
              </w:rPr>
            </w:pPr>
            <w:r>
              <w:rPr>
                <w:rFonts w:ascii="Arial" w:cs="Arial" w:eastAsia="Arial" w:hAnsi="Arial"/>
                <w:sz w:val="15"/>
                <w:szCs w:val="15"/>
                <w:color w:val="auto"/>
              </w:rPr>
              <w:t>50</w:t>
            </w:r>
            <w:r>
              <w:rPr>
                <w:rFonts w:ascii="Arial" w:cs="Arial" w:eastAsia="Arial" w:hAnsi="Arial"/>
                <w:sz w:val="24"/>
                <w:szCs w:val="24"/>
                <w:color w:val="auto"/>
                <w:vertAlign w:val="superscript"/>
              </w:rPr>
              <w:t>th</w:t>
            </w:r>
          </w:p>
        </w:tc>
        <w:tc>
          <w:tcPr>
            <w:tcW w:w="820" w:type="dxa"/>
            <w:vAlign w:val="bottom"/>
            <w:gridSpan w:val="2"/>
          </w:tcPr>
          <w:p>
            <w:pPr>
              <w:ind w:left="120"/>
              <w:spacing w:after="0"/>
              <w:rPr>
                <w:sz w:val="20"/>
                <w:szCs w:val="20"/>
                <w:color w:val="auto"/>
              </w:rPr>
            </w:pPr>
            <w:r>
              <w:rPr>
                <w:rFonts w:ascii="Arial" w:cs="Arial" w:eastAsia="Arial" w:hAnsi="Arial"/>
                <w:sz w:val="16"/>
                <w:szCs w:val="16"/>
                <w:color w:val="auto"/>
                <w:w w:val="97"/>
              </w:rPr>
              <w:t>percentile</w:t>
            </w:r>
          </w:p>
        </w:tc>
        <w:tc>
          <w:tcPr>
            <w:tcW w:w="480" w:type="dxa"/>
            <w:vAlign w:val="bottom"/>
          </w:tcPr>
          <w:p>
            <w:pPr>
              <w:ind w:left="160"/>
              <w:spacing w:after="0"/>
              <w:rPr>
                <w:sz w:val="20"/>
                <w:szCs w:val="20"/>
                <w:color w:val="auto"/>
              </w:rPr>
            </w:pPr>
            <w:r>
              <w:rPr>
                <w:rFonts w:ascii="Arial" w:cs="Arial" w:eastAsia="Arial" w:hAnsi="Arial"/>
                <w:sz w:val="16"/>
                <w:szCs w:val="16"/>
                <w:color w:val="auto"/>
              </w:rPr>
              <w:t>(at</w:t>
            </w:r>
          </w:p>
        </w:tc>
        <w:tc>
          <w:tcPr>
            <w:tcW w:w="580" w:type="dxa"/>
            <w:vAlign w:val="bottom"/>
          </w:tcPr>
          <w:p>
            <w:pPr>
              <w:jc w:val="right"/>
              <w:spacing w:after="0"/>
              <w:rPr>
                <w:sz w:val="20"/>
                <w:szCs w:val="20"/>
                <w:color w:val="auto"/>
              </w:rPr>
            </w:pPr>
            <w:r>
              <w:rPr>
                <w:rFonts w:ascii="Arial" w:cs="Arial" w:eastAsia="Arial" w:hAnsi="Arial"/>
                <w:sz w:val="16"/>
                <w:szCs w:val="16"/>
                <w:color w:val="auto"/>
              </w:rPr>
              <w:t>0.166%</w:t>
            </w: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4420" w:type="dxa"/>
            <w:vAlign w:val="bottom"/>
            <w:gridSpan w:val="2"/>
          </w:tcPr>
          <w:p>
            <w:pPr>
              <w:jc w:val="right"/>
              <w:ind w:right="278"/>
              <w:spacing w:after="0" w:line="168" w:lineRule="exact"/>
              <w:rPr>
                <w:sz w:val="20"/>
                <w:szCs w:val="20"/>
                <w:color w:val="auto"/>
              </w:rPr>
            </w:pPr>
            <w:r>
              <w:rPr>
                <w:rFonts w:ascii="Arial" w:cs="Arial" w:eastAsia="Arial" w:hAnsi="Arial"/>
                <w:sz w:val="16"/>
                <w:szCs w:val="16"/>
                <w:color w:val="auto"/>
              </w:rPr>
              <w:t>stock option award to our Chief Executive Officer in</w:t>
            </w: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60" w:type="dxa"/>
            <w:vAlign w:val="bottom"/>
            <w:gridSpan w:val="9"/>
            <w:vMerge w:val="restart"/>
          </w:tcPr>
          <w:p>
            <w:pPr>
              <w:ind w:left="20"/>
              <w:spacing w:after="0"/>
              <w:rPr>
                <w:sz w:val="20"/>
                <w:szCs w:val="20"/>
                <w:color w:val="auto"/>
              </w:rPr>
            </w:pPr>
            <w:r>
              <w:rPr>
                <w:rFonts w:ascii="Arial" w:cs="Arial" w:eastAsia="Arial" w:hAnsi="Arial"/>
                <w:sz w:val="16"/>
                <w:szCs w:val="16"/>
                <w:color w:val="auto"/>
              </w:rPr>
              <w:t>compared to 0.290% and 0.154%, respectively). In</w:t>
            </w:r>
          </w:p>
        </w:tc>
        <w:tc>
          <w:tcPr>
            <w:tcW w:w="0" w:type="dxa"/>
            <w:vAlign w:val="bottom"/>
          </w:tcPr>
          <w:p>
            <w:pPr>
              <w:spacing w:after="0"/>
              <w:rPr>
                <w:sz w:val="1"/>
                <w:szCs w:val="1"/>
                <w:color w:val="auto"/>
              </w:rPr>
            </w:pPr>
          </w:p>
        </w:tc>
      </w:tr>
      <w:tr>
        <w:trPr>
          <w:trHeight w:val="63"/>
        </w:trPr>
        <w:tc>
          <w:tcPr>
            <w:tcW w:w="800" w:type="dxa"/>
            <w:vAlign w:val="bottom"/>
          </w:tcPr>
          <w:p>
            <w:pPr>
              <w:spacing w:after="0"/>
              <w:rPr>
                <w:sz w:val="5"/>
                <w:szCs w:val="5"/>
                <w:color w:val="auto"/>
              </w:rPr>
            </w:pPr>
          </w:p>
        </w:tc>
        <w:tc>
          <w:tcPr>
            <w:tcW w:w="4420" w:type="dxa"/>
            <w:vAlign w:val="bottom"/>
            <w:gridSpan w:val="2"/>
            <w:vMerge w:val="restart"/>
          </w:tcPr>
          <w:p>
            <w:pPr>
              <w:jc w:val="right"/>
              <w:ind w:right="278"/>
              <w:spacing w:after="0"/>
              <w:rPr>
                <w:sz w:val="20"/>
                <w:szCs w:val="20"/>
                <w:color w:val="auto"/>
              </w:rPr>
            </w:pPr>
            <w:r>
              <w:rPr>
                <w:rFonts w:ascii="Arial" w:cs="Arial" w:eastAsia="Arial" w:hAnsi="Arial"/>
                <w:sz w:val="16"/>
                <w:szCs w:val="16"/>
                <w:color w:val="auto"/>
              </w:rPr>
              <w:t>2015 was approximately 39% lower than in 2012,</w:t>
            </w:r>
          </w:p>
        </w:tc>
        <w:tc>
          <w:tcPr>
            <w:tcW w:w="6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6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0" w:type="dxa"/>
            <w:vAlign w:val="bottom"/>
          </w:tcPr>
          <w:p>
            <w:pPr>
              <w:spacing w:after="0"/>
              <w:rPr>
                <w:sz w:val="11"/>
                <w:szCs w:val="11"/>
                <w:color w:val="auto"/>
              </w:rPr>
            </w:pPr>
          </w:p>
        </w:tc>
        <w:tc>
          <w:tcPr>
            <w:tcW w:w="44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60" w:type="dxa"/>
            <w:vAlign w:val="bottom"/>
            <w:gridSpan w:val="9"/>
            <w:vMerge w:val="restart"/>
          </w:tcPr>
          <w:p>
            <w:pPr>
              <w:ind w:left="20"/>
              <w:spacing w:after="0" w:line="228" w:lineRule="exact"/>
              <w:rPr>
                <w:sz w:val="20"/>
                <w:szCs w:val="20"/>
                <w:color w:val="auto"/>
              </w:rPr>
            </w:pPr>
            <w:r>
              <w:rPr>
                <w:rFonts w:ascii="Arial" w:cs="Arial" w:eastAsia="Arial" w:hAnsi="Arial"/>
                <w:sz w:val="16"/>
                <w:szCs w:val="16"/>
                <w:color w:val="auto"/>
              </w:rPr>
              <w:t>addition, this award was below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w:t>
            </w: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6"/>
                <w:szCs w:val="16"/>
                <w:color w:val="auto"/>
              </w:rPr>
              <w:t>while</w:t>
            </w:r>
          </w:p>
        </w:tc>
        <w:tc>
          <w:tcPr>
            <w:tcW w:w="3760" w:type="dxa"/>
            <w:vAlign w:val="bottom"/>
            <w:vMerge w:val="restart"/>
          </w:tcPr>
          <w:p>
            <w:pPr>
              <w:jc w:val="right"/>
              <w:ind w:right="278"/>
              <w:spacing w:after="0"/>
              <w:rPr>
                <w:sz w:val="20"/>
                <w:szCs w:val="20"/>
                <w:color w:val="auto"/>
              </w:rPr>
            </w:pPr>
            <w:r>
              <w:rPr>
                <w:rFonts w:ascii="Arial" w:cs="Arial" w:eastAsia="Arial" w:hAnsi="Arial"/>
                <w:sz w:val="16"/>
                <w:szCs w:val="16"/>
                <w:color w:val="auto"/>
              </w:rPr>
              <w:t>the stock price appreciated 217% over the</w:t>
            </w: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8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7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280" w:type="dxa"/>
            <w:vAlign w:val="bottom"/>
            <w:gridSpan w:val="8"/>
            <w:vMerge w:val="restart"/>
          </w:tcPr>
          <w:p>
            <w:pPr>
              <w:ind w:left="20"/>
              <w:spacing w:after="0"/>
              <w:rPr>
                <w:sz w:val="20"/>
                <w:szCs w:val="20"/>
                <w:color w:val="auto"/>
              </w:rPr>
            </w:pPr>
            <w:r>
              <w:rPr>
                <w:rFonts w:ascii="Arial" w:cs="Arial" w:eastAsia="Arial" w:hAnsi="Arial"/>
                <w:sz w:val="16"/>
                <w:szCs w:val="16"/>
                <w:color w:val="auto"/>
              </w:rPr>
              <w:t>our Biotech R&amp;D Peers (which was 0.183%).</w:t>
            </w: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420" w:type="dxa"/>
            <w:vAlign w:val="bottom"/>
            <w:gridSpan w:val="2"/>
            <w:vMerge w:val="restart"/>
          </w:tcPr>
          <w:p>
            <w:pPr>
              <w:jc w:val="right"/>
              <w:ind w:right="258"/>
              <w:spacing w:after="0"/>
              <w:rPr>
                <w:sz w:val="20"/>
                <w:szCs w:val="20"/>
                <w:color w:val="auto"/>
              </w:rPr>
            </w:pPr>
            <w:r>
              <w:rPr>
                <w:rFonts w:ascii="Arial" w:cs="Arial" w:eastAsia="Arial" w:hAnsi="Arial"/>
                <w:sz w:val="16"/>
                <w:szCs w:val="16"/>
                <w:color w:val="auto"/>
              </w:rPr>
              <w:t>same period. As a result, the appreciation in the</w:t>
            </w: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80" w:type="dxa"/>
            <w:vAlign w:val="bottom"/>
            <w:gridSpan w:val="8"/>
            <w:vMerge w:val="continue"/>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800" w:type="dxa"/>
            <w:vAlign w:val="bottom"/>
          </w:tcPr>
          <w:p>
            <w:pPr>
              <w:spacing w:after="0"/>
              <w:rPr>
                <w:sz w:val="7"/>
                <w:szCs w:val="7"/>
                <w:color w:val="auto"/>
              </w:rPr>
            </w:pPr>
          </w:p>
        </w:tc>
        <w:tc>
          <w:tcPr>
            <w:tcW w:w="44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4420" w:type="dxa"/>
            <w:vAlign w:val="bottom"/>
            <w:gridSpan w:val="2"/>
          </w:tcPr>
          <w:p>
            <w:pPr>
              <w:jc w:val="right"/>
              <w:ind w:right="278"/>
              <w:spacing w:after="0"/>
              <w:rPr>
                <w:sz w:val="20"/>
                <w:szCs w:val="20"/>
                <w:color w:val="auto"/>
              </w:rPr>
            </w:pPr>
            <w:r>
              <w:rPr>
                <w:rFonts w:ascii="Arial" w:cs="Arial" w:eastAsia="Arial" w:hAnsi="Arial"/>
                <w:sz w:val="16"/>
                <w:szCs w:val="16"/>
                <w:color w:val="auto"/>
              </w:rPr>
              <w:t>reported value of our Chief Executive Officer's pay</w:t>
            </w:r>
          </w:p>
        </w:tc>
        <w:tc>
          <w:tcPr>
            <w:tcW w:w="620" w:type="dxa"/>
            <w:vAlign w:val="bottom"/>
          </w:tcPr>
          <w:p>
            <w:pPr>
              <w:spacing w:after="0"/>
              <w:rPr>
                <w:sz w:val="16"/>
                <w:szCs w:val="16"/>
                <w:color w:val="auto"/>
              </w:rPr>
            </w:pPr>
          </w:p>
        </w:tc>
        <w:tc>
          <w:tcPr>
            <w:tcW w:w="1220" w:type="dxa"/>
            <w:vAlign w:val="bottom"/>
            <w:vMerge w:val="restart"/>
          </w:tcPr>
          <w:p>
            <w:pPr>
              <w:ind w:left="720"/>
              <w:spacing w:after="0"/>
              <w:rPr>
                <w:sz w:val="20"/>
                <w:szCs w:val="20"/>
                <w:color w:val="auto"/>
              </w:rPr>
            </w:pPr>
            <w:r>
              <w:rPr>
                <w:rFonts w:ascii="Courier New" w:cs="Courier New" w:eastAsia="Courier New" w:hAnsi="Courier New"/>
                <w:sz w:val="13"/>
                <w:szCs w:val="13"/>
                <w:b w:val="1"/>
                <w:bCs w:val="1"/>
                <w:color w:val="5668B0"/>
              </w:rPr>
              <w:t>o</w:t>
            </w:r>
          </w:p>
        </w:tc>
        <w:tc>
          <w:tcPr>
            <w:tcW w:w="3860" w:type="dxa"/>
            <w:vAlign w:val="bottom"/>
            <w:gridSpan w:val="9"/>
            <w:vMerge w:val="restart"/>
          </w:tcPr>
          <w:p>
            <w:pPr>
              <w:ind w:left="20"/>
              <w:spacing w:after="0"/>
              <w:rPr>
                <w:sz w:val="20"/>
                <w:szCs w:val="20"/>
                <w:color w:val="auto"/>
              </w:rPr>
            </w:pPr>
            <w:r>
              <w:rPr>
                <w:rFonts w:ascii="Arial" w:cs="Arial" w:eastAsia="Arial" w:hAnsi="Arial"/>
                <w:sz w:val="16"/>
                <w:szCs w:val="16"/>
                <w:color w:val="auto"/>
              </w:rPr>
              <w:t>In 2015, the Compensation Committee reduced the</w:t>
            </w: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4420" w:type="dxa"/>
            <w:vAlign w:val="bottom"/>
            <w:gridSpan w:val="2"/>
            <w:vMerge w:val="restart"/>
          </w:tcPr>
          <w:p>
            <w:pPr>
              <w:jc w:val="right"/>
              <w:ind w:right="278"/>
              <w:spacing w:after="0"/>
              <w:rPr>
                <w:sz w:val="20"/>
                <w:szCs w:val="20"/>
                <w:color w:val="auto"/>
              </w:rPr>
            </w:pPr>
            <w:r>
              <w:rPr>
                <w:rFonts w:ascii="Arial" w:cs="Arial" w:eastAsia="Arial" w:hAnsi="Arial"/>
                <w:sz w:val="16"/>
                <w:szCs w:val="16"/>
                <w:color w:val="auto"/>
              </w:rPr>
              <w:t>was significantly below the appreciation of our stock</w:t>
            </w:r>
          </w:p>
        </w:tc>
        <w:tc>
          <w:tcPr>
            <w:tcW w:w="6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38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60" w:type="dxa"/>
            <w:vAlign w:val="bottom"/>
            <w:gridSpan w:val="9"/>
            <w:vMerge w:val="restart"/>
          </w:tcPr>
          <w:p>
            <w:pPr>
              <w:ind w:left="20"/>
              <w:spacing w:after="0"/>
              <w:rPr>
                <w:sz w:val="20"/>
                <w:szCs w:val="20"/>
                <w:color w:val="auto"/>
              </w:rPr>
            </w:pPr>
            <w:r>
              <w:rPr>
                <w:rFonts w:ascii="Arial" w:cs="Arial" w:eastAsia="Arial" w:hAnsi="Arial"/>
                <w:sz w:val="16"/>
                <w:szCs w:val="16"/>
                <w:color w:val="auto"/>
              </w:rPr>
              <w:t>number of shares underlying the annual stock option</w:t>
            </w: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6"/>
                <w:szCs w:val="16"/>
                <w:color w:val="auto"/>
              </w:rPr>
              <w:t>price,</w:t>
            </w:r>
          </w:p>
        </w:tc>
        <w:tc>
          <w:tcPr>
            <w:tcW w:w="3760" w:type="dxa"/>
            <w:vAlign w:val="bottom"/>
            <w:vMerge w:val="restart"/>
          </w:tcPr>
          <w:p>
            <w:pPr>
              <w:jc w:val="right"/>
              <w:ind w:right="278"/>
              <w:spacing w:after="0"/>
              <w:rPr>
                <w:sz w:val="20"/>
                <w:szCs w:val="20"/>
                <w:color w:val="auto"/>
              </w:rPr>
            </w:pPr>
            <w:r>
              <w:rPr>
                <w:rFonts w:ascii="Arial" w:cs="Arial" w:eastAsia="Arial" w:hAnsi="Arial"/>
                <w:sz w:val="16"/>
                <w:szCs w:val="16"/>
                <w:color w:val="auto"/>
              </w:rPr>
              <w:t>both cumulatively over the five-year period</w:t>
            </w: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8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7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60" w:type="dxa"/>
            <w:vAlign w:val="bottom"/>
            <w:gridSpan w:val="9"/>
            <w:vMerge w:val="restart"/>
          </w:tcPr>
          <w:p>
            <w:pPr>
              <w:ind w:left="20"/>
              <w:spacing w:after="0"/>
              <w:rPr>
                <w:sz w:val="20"/>
                <w:szCs w:val="20"/>
                <w:color w:val="auto"/>
              </w:rPr>
            </w:pPr>
            <w:r>
              <w:rPr>
                <w:rFonts w:ascii="Arial" w:cs="Arial" w:eastAsia="Arial" w:hAnsi="Arial"/>
                <w:sz w:val="16"/>
                <w:szCs w:val="16"/>
                <w:color w:val="auto"/>
              </w:rPr>
              <w:t>awards to the Named Officers by 15% compared to</w:t>
            </w: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4420" w:type="dxa"/>
            <w:vAlign w:val="bottom"/>
            <w:gridSpan w:val="2"/>
            <w:vMerge w:val="restart"/>
          </w:tcPr>
          <w:p>
            <w:pPr>
              <w:jc w:val="right"/>
              <w:ind w:right="278"/>
              <w:spacing w:after="0"/>
              <w:rPr>
                <w:sz w:val="20"/>
                <w:szCs w:val="20"/>
                <w:color w:val="auto"/>
              </w:rPr>
            </w:pPr>
            <w:r>
              <w:rPr>
                <w:rFonts w:ascii="Arial" w:cs="Arial" w:eastAsia="Arial" w:hAnsi="Arial"/>
                <w:sz w:val="16"/>
                <w:szCs w:val="16"/>
                <w:color w:val="auto"/>
              </w:rPr>
              <w:t>and on a year-over-year basis. This means that the</w:t>
            </w: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8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40" w:type="dxa"/>
            <w:vAlign w:val="bottom"/>
            <w:vMerge w:val="restart"/>
          </w:tcPr>
          <w:p>
            <w:pPr>
              <w:ind w:left="20"/>
              <w:spacing w:after="0"/>
              <w:rPr>
                <w:sz w:val="20"/>
                <w:szCs w:val="20"/>
                <w:color w:val="auto"/>
              </w:rPr>
            </w:pPr>
            <w:r>
              <w:rPr>
                <w:rFonts w:ascii="Arial" w:cs="Arial" w:eastAsia="Arial" w:hAnsi="Arial"/>
                <w:sz w:val="16"/>
                <w:szCs w:val="16"/>
                <w:color w:val="auto"/>
              </w:rPr>
              <w:t>2014</w:t>
            </w:r>
          </w:p>
        </w:tc>
        <w:tc>
          <w:tcPr>
            <w:tcW w:w="100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rPr>
              <w:t>(other  than</w:t>
            </w:r>
          </w:p>
        </w:tc>
        <w:tc>
          <w:tcPr>
            <w:tcW w:w="440" w:type="dxa"/>
            <w:vAlign w:val="bottom"/>
            <w:gridSpan w:val="2"/>
            <w:vMerge w:val="restart"/>
          </w:tcPr>
          <w:p>
            <w:pPr>
              <w:ind w:left="80"/>
              <w:spacing w:after="0"/>
              <w:rPr>
                <w:sz w:val="20"/>
                <w:szCs w:val="20"/>
                <w:color w:val="auto"/>
              </w:rPr>
            </w:pPr>
            <w:r>
              <w:rPr>
                <w:rFonts w:ascii="Arial" w:cs="Arial" w:eastAsia="Arial" w:hAnsi="Arial"/>
                <w:sz w:val="16"/>
                <w:szCs w:val="16"/>
                <w:color w:val="auto"/>
              </w:rPr>
              <w:t>Mr.</w:t>
            </w:r>
          </w:p>
        </w:tc>
        <w:tc>
          <w:tcPr>
            <w:tcW w:w="1300" w:type="dxa"/>
            <w:vAlign w:val="bottom"/>
            <w:gridSpan w:val="3"/>
            <w:vMerge w:val="restart"/>
          </w:tcPr>
          <w:p>
            <w:pPr>
              <w:ind w:left="40"/>
              <w:spacing w:after="0"/>
              <w:rPr>
                <w:sz w:val="20"/>
                <w:szCs w:val="20"/>
                <w:color w:val="auto"/>
              </w:rPr>
            </w:pPr>
            <w:r>
              <w:rPr>
                <w:rFonts w:ascii="Arial" w:cs="Arial" w:eastAsia="Arial" w:hAnsi="Arial"/>
                <w:sz w:val="16"/>
                <w:szCs w:val="16"/>
                <w:color w:val="auto"/>
              </w:rPr>
              <w:t>Terifay's  award,</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which</w:t>
            </w: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4420" w:type="dxa"/>
            <w:vAlign w:val="bottom"/>
            <w:gridSpan w:val="2"/>
            <w:vMerge w:val="restart"/>
          </w:tcPr>
          <w:p>
            <w:pPr>
              <w:jc w:val="right"/>
              <w:ind w:right="278"/>
              <w:spacing w:after="0"/>
              <w:rPr>
                <w:sz w:val="20"/>
                <w:szCs w:val="20"/>
                <w:color w:val="auto"/>
              </w:rPr>
            </w:pPr>
            <w:r>
              <w:rPr>
                <w:rFonts w:ascii="Arial" w:cs="Arial" w:eastAsia="Arial" w:hAnsi="Arial"/>
                <w:sz w:val="16"/>
                <w:szCs w:val="16"/>
                <w:color w:val="auto"/>
              </w:rPr>
              <w:t>value of our long-term shareholders' investment in</w:t>
            </w: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60" w:type="dxa"/>
            <w:vAlign w:val="bottom"/>
            <w:gridSpan w:val="9"/>
            <w:vMerge w:val="restart"/>
          </w:tcPr>
          <w:p>
            <w:pPr>
              <w:ind w:left="20"/>
              <w:spacing w:after="0"/>
              <w:rPr>
                <w:sz w:val="20"/>
                <w:szCs w:val="20"/>
                <w:color w:val="auto"/>
              </w:rPr>
            </w:pPr>
            <w:r>
              <w:rPr>
                <w:rFonts w:ascii="Arial" w:cs="Arial" w:eastAsia="Arial" w:hAnsi="Arial"/>
                <w:sz w:val="16"/>
                <w:szCs w:val="16"/>
                <w:color w:val="auto"/>
              </w:rPr>
              <w:t>remained at the 2014 level due to his promotion to</w:t>
            </w: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4420" w:type="dxa"/>
            <w:vAlign w:val="bottom"/>
            <w:gridSpan w:val="2"/>
            <w:vMerge w:val="restart"/>
          </w:tcPr>
          <w:p>
            <w:pPr>
              <w:jc w:val="right"/>
              <w:ind w:right="278"/>
              <w:spacing w:after="0"/>
              <w:rPr>
                <w:sz w:val="20"/>
                <w:szCs w:val="20"/>
                <w:color w:val="auto"/>
              </w:rPr>
            </w:pPr>
            <w:r>
              <w:rPr>
                <w:rFonts w:ascii="Arial" w:cs="Arial" w:eastAsia="Arial" w:hAnsi="Arial"/>
                <w:sz w:val="16"/>
                <w:szCs w:val="16"/>
                <w:color w:val="auto"/>
              </w:rPr>
              <w:t>Regeneron grew more rapidly than our CEO's pay</w:t>
            </w: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8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0" w:type="dxa"/>
            <w:vAlign w:val="bottom"/>
          </w:tcPr>
          <w:p>
            <w:pPr>
              <w:spacing w:after="0"/>
              <w:rPr>
                <w:sz w:val="8"/>
                <w:szCs w:val="8"/>
                <w:color w:val="auto"/>
              </w:rPr>
            </w:pPr>
          </w:p>
        </w:tc>
        <w:tc>
          <w:tcPr>
            <w:tcW w:w="44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60" w:type="dxa"/>
            <w:vAlign w:val="bottom"/>
            <w:gridSpan w:val="2"/>
          </w:tcPr>
          <w:p>
            <w:pPr>
              <w:ind w:left="20"/>
              <w:spacing w:after="0" w:line="89" w:lineRule="exact"/>
              <w:rPr>
                <w:sz w:val="20"/>
                <w:szCs w:val="20"/>
                <w:color w:val="auto"/>
              </w:rPr>
            </w:pPr>
            <w:r>
              <w:rPr>
                <w:rFonts w:ascii="Arial" w:cs="Arial" w:eastAsia="Arial" w:hAnsi="Arial"/>
                <w:sz w:val="10"/>
                <w:szCs w:val="10"/>
                <w:color w:val="auto"/>
              </w:rPr>
              <w:t>Executive  Vice</w:t>
            </w:r>
          </w:p>
        </w:tc>
        <w:tc>
          <w:tcPr>
            <w:tcW w:w="1000" w:type="dxa"/>
            <w:vAlign w:val="bottom"/>
            <w:gridSpan w:val="4"/>
          </w:tcPr>
          <w:p>
            <w:pPr>
              <w:ind w:left="180"/>
              <w:spacing w:after="0" w:line="89" w:lineRule="exact"/>
              <w:rPr>
                <w:sz w:val="20"/>
                <w:szCs w:val="20"/>
                <w:color w:val="auto"/>
              </w:rPr>
            </w:pPr>
            <w:r>
              <w:rPr>
                <w:rFonts w:ascii="Arial" w:cs="Arial" w:eastAsia="Arial" w:hAnsi="Arial"/>
                <w:sz w:val="10"/>
                <w:szCs w:val="10"/>
                <w:color w:val="auto"/>
              </w:rPr>
              <w:t>President,</w:t>
            </w:r>
          </w:p>
        </w:tc>
        <w:tc>
          <w:tcPr>
            <w:tcW w:w="1600" w:type="dxa"/>
            <w:vAlign w:val="bottom"/>
            <w:gridSpan w:val="3"/>
          </w:tcPr>
          <w:p>
            <w:pPr>
              <w:jc w:val="right"/>
              <w:spacing w:after="0" w:line="89" w:lineRule="exact"/>
              <w:rPr>
                <w:sz w:val="20"/>
                <w:szCs w:val="20"/>
                <w:color w:val="auto"/>
              </w:rPr>
            </w:pPr>
            <w:r>
              <w:rPr>
                <w:rFonts w:ascii="Arial" w:cs="Arial" w:eastAsia="Arial" w:hAnsi="Arial"/>
                <w:sz w:val="10"/>
                <w:szCs w:val="10"/>
                <w:color w:val="auto"/>
              </w:rPr>
              <w:t>Commercial).  This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3720" w:type="dxa"/>
            <w:vAlign w:val="bottom"/>
          </w:tcPr>
          <w:p>
            <w:pPr>
              <w:spacing w:after="0"/>
              <w:rPr>
                <w:sz w:val="20"/>
                <w:szCs w:val="20"/>
                <w:color w:val="auto"/>
              </w:rPr>
            </w:pPr>
            <w:r>
              <w:rPr>
                <w:rFonts w:ascii="Arial" w:cs="Arial" w:eastAsia="Arial" w:hAnsi="Arial"/>
                <w:sz w:val="16"/>
                <w:szCs w:val="16"/>
                <w:color w:val="auto"/>
              </w:rPr>
              <w:t>over those periods.</w:t>
            </w:r>
          </w:p>
        </w:tc>
        <w:tc>
          <w:tcPr>
            <w:tcW w:w="6180" w:type="dxa"/>
            <w:vAlign w:val="bottom"/>
            <w:vMerge w:val="restart"/>
          </w:tcPr>
          <w:p>
            <w:pPr>
              <w:ind w:left="2340"/>
              <w:spacing w:after="0"/>
              <w:rPr>
                <w:sz w:val="20"/>
                <w:szCs w:val="20"/>
                <w:color w:val="auto"/>
              </w:rPr>
            </w:pPr>
            <w:r>
              <w:rPr>
                <w:rFonts w:ascii="Arial" w:cs="Arial" w:eastAsia="Arial" w:hAnsi="Arial"/>
                <w:sz w:val="16"/>
                <w:szCs w:val="16"/>
                <w:color w:val="auto"/>
              </w:rPr>
              <w:t>decrease constituted the third consecutive double-</w:t>
            </w:r>
          </w:p>
        </w:tc>
        <w:tc>
          <w:tcPr>
            <w:tcW w:w="0" w:type="dxa"/>
            <w:vAlign w:val="bottom"/>
          </w:tcPr>
          <w:p>
            <w:pPr>
              <w:spacing w:after="0"/>
              <w:rPr>
                <w:sz w:val="1"/>
                <w:szCs w:val="1"/>
                <w:color w:val="auto"/>
              </w:rPr>
            </w:pPr>
          </w:p>
        </w:tc>
      </w:tr>
      <w:tr>
        <w:trPr>
          <w:trHeight w:val="87"/>
        </w:trPr>
        <w:tc>
          <w:tcPr>
            <w:tcW w:w="3720" w:type="dxa"/>
            <w:vAlign w:val="bottom"/>
          </w:tcPr>
          <w:p>
            <w:pPr>
              <w:spacing w:after="0"/>
              <w:rPr>
                <w:sz w:val="7"/>
                <w:szCs w:val="7"/>
                <w:color w:val="auto"/>
              </w:rPr>
            </w:pPr>
          </w:p>
        </w:tc>
        <w:tc>
          <w:tcPr>
            <w:tcW w:w="6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6180" w:type="dxa"/>
            <w:vAlign w:val="bottom"/>
          </w:tcPr>
          <w:p>
            <w:pPr>
              <w:ind w:left="2340"/>
              <w:spacing w:after="0"/>
              <w:rPr>
                <w:sz w:val="20"/>
                <w:szCs w:val="20"/>
                <w:color w:val="auto"/>
              </w:rPr>
            </w:pPr>
            <w:r>
              <w:rPr>
                <w:rFonts w:ascii="Arial" w:cs="Arial" w:eastAsia="Arial" w:hAnsi="Arial"/>
                <w:sz w:val="16"/>
                <w:szCs w:val="16"/>
                <w:color w:val="auto"/>
              </w:rPr>
              <w:t>digit percentage decrease in the annual grant of</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6180" w:type="dxa"/>
            <w:vAlign w:val="bottom"/>
          </w:tcPr>
          <w:p>
            <w:pPr>
              <w:ind w:left="2340"/>
              <w:spacing w:after="0"/>
              <w:rPr>
                <w:sz w:val="20"/>
                <w:szCs w:val="20"/>
                <w:color w:val="auto"/>
              </w:rPr>
            </w:pPr>
            <w:r>
              <w:rPr>
                <w:rFonts w:ascii="Arial" w:cs="Arial" w:eastAsia="Arial" w:hAnsi="Arial"/>
                <w:sz w:val="16"/>
                <w:szCs w:val="16"/>
                <w:color w:val="auto"/>
              </w:rPr>
              <w:t>stock options to our Named Officers, in each case</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6180" w:type="dxa"/>
            <w:vAlign w:val="bottom"/>
          </w:tcPr>
          <w:p>
            <w:pPr>
              <w:ind w:left="2340"/>
              <w:spacing w:after="0"/>
              <w:rPr>
                <w:sz w:val="20"/>
                <w:szCs w:val="20"/>
                <w:color w:val="auto"/>
              </w:rPr>
            </w:pPr>
            <w:r>
              <w:rPr>
                <w:rFonts w:ascii="Arial" w:cs="Arial" w:eastAsia="Arial" w:hAnsi="Arial"/>
                <w:sz w:val="16"/>
                <w:szCs w:val="16"/>
                <w:color w:val="auto"/>
              </w:rPr>
              <w:t>following outstanding TSR performance. In reducing</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6180" w:type="dxa"/>
            <w:vAlign w:val="bottom"/>
          </w:tcPr>
          <w:p>
            <w:pPr>
              <w:ind w:left="2340"/>
              <w:spacing w:after="0"/>
              <w:rPr>
                <w:sz w:val="20"/>
                <w:szCs w:val="20"/>
                <w:color w:val="auto"/>
              </w:rPr>
            </w:pPr>
            <w:r>
              <w:rPr>
                <w:rFonts w:ascii="Arial" w:cs="Arial" w:eastAsia="Arial" w:hAnsi="Arial"/>
                <w:sz w:val="16"/>
                <w:szCs w:val="16"/>
                <w:color w:val="auto"/>
              </w:rPr>
              <w:t>the size of 2015 annual stock option awards to</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6180" w:type="dxa"/>
            <w:vAlign w:val="bottom"/>
          </w:tcPr>
          <w:p>
            <w:pPr>
              <w:ind w:left="2340"/>
              <w:spacing w:after="0"/>
              <w:rPr>
                <w:sz w:val="20"/>
                <w:szCs w:val="20"/>
                <w:color w:val="auto"/>
              </w:rPr>
            </w:pPr>
            <w:r>
              <w:rPr>
                <w:rFonts w:ascii="Arial" w:cs="Arial" w:eastAsia="Arial" w:hAnsi="Arial"/>
                <w:sz w:val="16"/>
                <w:szCs w:val="16"/>
                <w:color w:val="auto"/>
              </w:rPr>
              <w:t>executives, the Compensation Committee sought to</w:t>
            </w:r>
          </w:p>
        </w:tc>
        <w:tc>
          <w:tcPr>
            <w:tcW w:w="0" w:type="dxa"/>
            <w:vAlign w:val="bottom"/>
          </w:tcPr>
          <w:p>
            <w:pPr>
              <w:spacing w:after="0"/>
              <w:rPr>
                <w:sz w:val="1"/>
                <w:szCs w:val="1"/>
                <w:color w:val="auto"/>
              </w:rPr>
            </w:pPr>
          </w:p>
        </w:tc>
      </w:tr>
      <w:tr>
        <w:trPr>
          <w:trHeight w:val="197"/>
        </w:trPr>
        <w:tc>
          <w:tcPr>
            <w:tcW w:w="3720" w:type="dxa"/>
            <w:vAlign w:val="bottom"/>
          </w:tcPr>
          <w:p>
            <w:pPr>
              <w:spacing w:after="0"/>
              <w:rPr>
                <w:sz w:val="17"/>
                <w:szCs w:val="17"/>
                <w:color w:val="auto"/>
              </w:rPr>
            </w:pPr>
          </w:p>
        </w:tc>
        <w:tc>
          <w:tcPr>
            <w:tcW w:w="6180" w:type="dxa"/>
            <w:vAlign w:val="bottom"/>
          </w:tcPr>
          <w:p>
            <w:pPr>
              <w:ind w:left="2340"/>
              <w:spacing w:after="0"/>
              <w:rPr>
                <w:sz w:val="20"/>
                <w:szCs w:val="20"/>
                <w:color w:val="auto"/>
              </w:rPr>
            </w:pPr>
            <w:r>
              <w:rPr>
                <w:rFonts w:ascii="Arial" w:cs="Arial" w:eastAsia="Arial" w:hAnsi="Arial"/>
                <w:sz w:val="16"/>
                <w:szCs w:val="16"/>
                <w:color w:val="auto"/>
              </w:rPr>
              <w:t>reduce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642620" cy="2006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259080</wp:posOffset>
            </wp:positionV>
            <wp:extent cx="8255" cy="1930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6" w:lineRule="exact"/>
        <w:rPr>
          <w:sz w:val="20"/>
          <w:szCs w:val="20"/>
          <w:color w:val="auto"/>
        </w:rPr>
      </w:pPr>
    </w:p>
    <w:p>
      <w:pPr>
        <w:ind w:left="1160" w:hanging="744"/>
        <w:spacing w:after="0"/>
        <w:tabs>
          <w:tab w:leader="none" w:pos="1160" w:val="left"/>
        </w:tabs>
        <w:numPr>
          <w:ilvl w:val="0"/>
          <w:numId w:val="6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1520"/>
        <w:spacing w:after="0" w:line="250" w:lineRule="auto"/>
        <w:rPr>
          <w:sz w:val="20"/>
          <w:szCs w:val="20"/>
          <w:color w:val="auto"/>
        </w:rPr>
      </w:pPr>
      <w:r>
        <w:rPr>
          <w:rFonts w:ascii="Arial" w:cs="Arial" w:eastAsia="Arial" w:hAnsi="Arial"/>
          <w:sz w:val="16"/>
          <w:szCs w:val="16"/>
          <w:color w:val="auto"/>
        </w:rPr>
        <w:t>potential dilutive impact of new equity awards without adversely affecting the competitiveness of our executive compensation program, which has successfully motivated our senior management team to deliver high operating performance and shareholder value.</w:t>
      </w:r>
    </w:p>
    <w:p>
      <w:pPr>
        <w:spacing w:after="0" w:line="191" w:lineRule="exact"/>
        <w:rPr>
          <w:sz w:val="20"/>
          <w:szCs w:val="20"/>
          <w:color w:val="auto"/>
        </w:rPr>
      </w:pPr>
    </w:p>
    <w:p>
      <w:pPr>
        <w:jc w:val="both"/>
        <w:ind w:left="1520" w:hanging="507"/>
        <w:spacing w:after="0" w:line="235" w:lineRule="auto"/>
        <w:tabs>
          <w:tab w:leader="none" w:pos="1520" w:val="left"/>
        </w:tabs>
        <w:numPr>
          <w:ilvl w:val="0"/>
          <w:numId w:val="68"/>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We continued to pay close attention to our burn rate. Despite the expansive growth of our employee base, which increased by 121% between 2012 and 2015 (from 1,950 full-time employees to 4,303 full-time employees), our burn rate decreased from 5.4% to 4.4% over the same period, and we maintained a three-year burn rate average of 4.1% in 2015. We achieved this reduction through implementing three consecutive double-digit percentage decreases in the number of shares underlying annual stock option awards, without eliminating the broad-based nature of our equity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1520" w:hanging="511"/>
        <w:spacing w:after="0" w:line="229" w:lineRule="auto"/>
        <w:tabs>
          <w:tab w:leader="none" w:pos="1520" w:val="left"/>
        </w:tabs>
        <w:numPr>
          <w:ilvl w:val="0"/>
          <w:numId w:val="69"/>
        </w:numPr>
        <w:rPr>
          <w:rFonts w:ascii="Courier New" w:cs="Courier New" w:eastAsia="Courier New" w:hAnsi="Courier New"/>
          <w:sz w:val="27"/>
          <w:szCs w:val="27"/>
          <w:b w:val="1"/>
          <w:bCs w:val="1"/>
          <w:color w:val="5668B0"/>
          <w:vertAlign w:val="superscript"/>
        </w:rPr>
      </w:pPr>
      <w:r>
        <w:rPr>
          <w:rFonts w:ascii="Arial" w:cs="Arial" w:eastAsia="Arial" w:hAnsi="Arial"/>
          <w:sz w:val="16"/>
          <w:szCs w:val="16"/>
          <w:color w:val="auto"/>
        </w:rPr>
        <w:t>We believe our approach to equity compensation has helped us to successfully grow and manage employee attrition, as evidenced by our 2015 employee turnover of approximately 6%, which compares favorably to the average employee turnover of approximately 18% for the life sciences sector based on the Fourth Quarter 2015 Radford Global Life Sciences Trends Report.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Highlights of Compensation Policies and Practices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committed to maintaining rigorous corporate governance standards, including those related to the oversight of our executive compensation policies and practices. We have compensation policies and practices designed to enhance governance of our executive compensation program and to further our compensation objectives. These policies and practices include:</w:t>
      </w:r>
    </w:p>
    <w:p>
      <w:pPr>
        <w:spacing w:after="0" w:line="559" w:lineRule="exact"/>
        <w:rPr>
          <w:sz w:val="20"/>
          <w:szCs w:val="20"/>
          <w:color w:val="auto"/>
        </w:rPr>
      </w:pPr>
    </w:p>
    <w:p>
      <w:pPr>
        <w:sectPr>
          <w:pgSz w:w="11900" w:h="16838" w:orient="portrait"/>
          <w:cols w:equalWidth="0" w:num="2">
            <w:col w:w="5360" w:space="700"/>
            <w:col w:w="5360"/>
          </w:cols>
          <w:pgMar w:left="240" w:top="143" w:right="239" w:bottom="1440" w:gutter="0" w:footer="0" w:header="0"/>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4960" w:type="dxa"/>
            <w:vAlign w:val="bottom"/>
            <w:shd w:val="clear" w:color="auto" w:fill="5668B0"/>
          </w:tcPr>
          <w:p>
            <w:pPr>
              <w:spacing w:after="0"/>
              <w:rPr>
                <w:sz w:val="20"/>
                <w:szCs w:val="20"/>
                <w:color w:val="auto"/>
              </w:rPr>
            </w:pPr>
            <w:r>
              <w:rPr>
                <w:rFonts w:ascii="Arial" w:cs="Arial" w:eastAsia="Arial" w:hAnsi="Arial"/>
                <w:sz w:val="13"/>
                <w:szCs w:val="13"/>
                <w:color w:val="FFFFFE"/>
              </w:rPr>
              <w:t>Policy/Practice</w:t>
            </w:r>
          </w:p>
        </w:tc>
        <w:tc>
          <w:tcPr>
            <w:tcW w:w="5780" w:type="dxa"/>
            <w:vAlign w:val="bottom"/>
            <w:gridSpan w:val="4"/>
            <w:shd w:val="clear" w:color="auto" w:fill="5668B0"/>
          </w:tcPr>
          <w:p>
            <w:pPr>
              <w:ind w:left="1220"/>
              <w:spacing w:after="0"/>
              <w:rPr>
                <w:sz w:val="20"/>
                <w:szCs w:val="20"/>
                <w:color w:val="auto"/>
              </w:rPr>
            </w:pPr>
            <w:r>
              <w:rPr>
                <w:rFonts w:ascii="Arial" w:cs="Arial" w:eastAsia="Arial" w:hAnsi="Arial"/>
                <w:sz w:val="13"/>
                <w:szCs w:val="13"/>
                <w:color w:val="FFFFFE"/>
              </w:rPr>
              <w:t>Description</w:t>
            </w:r>
          </w:p>
        </w:tc>
        <w:tc>
          <w:tcPr>
            <w:tcW w:w="680" w:type="dxa"/>
            <w:vAlign w:val="bottom"/>
            <w:shd w:val="clear" w:color="auto" w:fill="5668B0"/>
          </w:tcPr>
          <w:p>
            <w:pPr>
              <w:spacing w:after="0"/>
              <w:rPr>
                <w:sz w:val="24"/>
                <w:szCs w:val="24"/>
                <w:color w:val="auto"/>
              </w:rPr>
            </w:pPr>
          </w:p>
        </w:tc>
      </w:tr>
      <w:tr>
        <w:trPr>
          <w:trHeight w:val="137"/>
        </w:trPr>
        <w:tc>
          <w:tcPr>
            <w:tcW w:w="4960" w:type="dxa"/>
            <w:vAlign w:val="bottom"/>
            <w:shd w:val="clear" w:color="auto" w:fill="5668B0"/>
          </w:tcPr>
          <w:p>
            <w:pPr>
              <w:spacing w:after="0"/>
              <w:rPr>
                <w:sz w:val="11"/>
                <w:szCs w:val="11"/>
                <w:color w:val="auto"/>
              </w:rPr>
            </w:pPr>
          </w:p>
        </w:tc>
        <w:tc>
          <w:tcPr>
            <w:tcW w:w="5780" w:type="dxa"/>
            <w:vAlign w:val="bottom"/>
            <w:gridSpan w:val="4"/>
            <w:shd w:val="clear" w:color="auto" w:fill="5668B0"/>
          </w:tcPr>
          <w:p>
            <w:pPr>
              <w:spacing w:after="0"/>
              <w:rPr>
                <w:sz w:val="11"/>
                <w:szCs w:val="11"/>
                <w:color w:val="auto"/>
              </w:rPr>
            </w:pPr>
          </w:p>
        </w:tc>
        <w:tc>
          <w:tcPr>
            <w:tcW w:w="680" w:type="dxa"/>
            <w:vAlign w:val="bottom"/>
            <w:shd w:val="clear" w:color="auto" w:fill="5668B0"/>
          </w:tcPr>
          <w:p>
            <w:pPr>
              <w:spacing w:after="0"/>
              <w:rPr>
                <w:sz w:val="11"/>
                <w:szCs w:val="11"/>
                <w:color w:val="auto"/>
              </w:rPr>
            </w:pPr>
          </w:p>
        </w:tc>
      </w:tr>
      <w:tr>
        <w:trPr>
          <w:trHeight w:val="193"/>
        </w:trPr>
        <w:tc>
          <w:tcPr>
            <w:tcW w:w="4960" w:type="dxa"/>
            <w:vAlign w:val="bottom"/>
            <w:shd w:val="clear" w:color="auto" w:fill="E6ECF8"/>
          </w:tcPr>
          <w:p>
            <w:pPr>
              <w:spacing w:after="0"/>
              <w:rPr>
                <w:sz w:val="20"/>
                <w:szCs w:val="20"/>
                <w:color w:val="auto"/>
              </w:rPr>
            </w:pPr>
            <w:r>
              <w:rPr>
                <w:rFonts w:ascii="Arial" w:cs="Arial" w:eastAsia="Arial" w:hAnsi="Arial"/>
                <w:sz w:val="16"/>
                <w:szCs w:val="16"/>
                <w:color w:val="auto"/>
              </w:rPr>
              <w:t>Independent Compensation Consultant</w:t>
            </w:r>
          </w:p>
        </w:tc>
        <w:tc>
          <w:tcPr>
            <w:tcW w:w="5780" w:type="dxa"/>
            <w:vAlign w:val="bottom"/>
            <w:gridSpan w:val="4"/>
            <w:shd w:val="clear" w:color="auto" w:fill="E6ECF8"/>
          </w:tcPr>
          <w:p>
            <w:pPr>
              <w:ind w:left="1220"/>
              <w:spacing w:after="0"/>
              <w:rPr>
                <w:sz w:val="20"/>
                <w:szCs w:val="20"/>
                <w:color w:val="auto"/>
              </w:rPr>
            </w:pPr>
            <w:r>
              <w:rPr>
                <w:rFonts w:ascii="Arial" w:cs="Arial" w:eastAsia="Arial" w:hAnsi="Arial"/>
                <w:sz w:val="16"/>
                <w:szCs w:val="16"/>
                <w:color w:val="auto"/>
              </w:rPr>
              <w:t>The Compensation Committee's consultant, Frederic W.</w:t>
            </w:r>
          </w:p>
        </w:tc>
        <w:tc>
          <w:tcPr>
            <w:tcW w:w="680" w:type="dxa"/>
            <w:vAlign w:val="bottom"/>
            <w:shd w:val="clear" w:color="auto" w:fill="E6ECF8"/>
          </w:tcPr>
          <w:p>
            <w:pPr>
              <w:spacing w:after="0"/>
              <w:rPr>
                <w:sz w:val="16"/>
                <w:szCs w:val="16"/>
                <w:color w:val="auto"/>
              </w:rPr>
            </w:pPr>
          </w:p>
        </w:tc>
      </w:tr>
      <w:tr>
        <w:trPr>
          <w:trHeight w:val="190"/>
        </w:trPr>
        <w:tc>
          <w:tcPr>
            <w:tcW w:w="4960" w:type="dxa"/>
            <w:vAlign w:val="bottom"/>
            <w:shd w:val="clear" w:color="auto" w:fill="E6ECF8"/>
          </w:tcPr>
          <w:p>
            <w:pPr>
              <w:spacing w:after="0"/>
              <w:rPr>
                <w:sz w:val="16"/>
                <w:szCs w:val="16"/>
                <w:color w:val="auto"/>
              </w:rPr>
            </w:pPr>
          </w:p>
        </w:tc>
        <w:tc>
          <w:tcPr>
            <w:tcW w:w="6460" w:type="dxa"/>
            <w:vAlign w:val="bottom"/>
            <w:gridSpan w:val="5"/>
            <w:shd w:val="clear" w:color="auto" w:fill="E6ECF8"/>
          </w:tcPr>
          <w:p>
            <w:pPr>
              <w:ind w:left="1220"/>
              <w:spacing w:after="0"/>
              <w:rPr>
                <w:sz w:val="20"/>
                <w:szCs w:val="20"/>
                <w:color w:val="auto"/>
              </w:rPr>
            </w:pPr>
            <w:r>
              <w:rPr>
                <w:rFonts w:ascii="Arial" w:cs="Arial" w:eastAsia="Arial" w:hAnsi="Arial"/>
                <w:sz w:val="16"/>
                <w:szCs w:val="16"/>
                <w:color w:val="auto"/>
              </w:rPr>
              <w:t>Cook &amp; Co., Inc., is retained directly by the Compensation Committee,</w:t>
            </w:r>
          </w:p>
        </w:tc>
      </w:tr>
      <w:tr>
        <w:trPr>
          <w:trHeight w:val="190"/>
        </w:trPr>
        <w:tc>
          <w:tcPr>
            <w:tcW w:w="4960" w:type="dxa"/>
            <w:vAlign w:val="bottom"/>
            <w:shd w:val="clear" w:color="auto" w:fill="E6ECF8"/>
          </w:tcPr>
          <w:p>
            <w:pPr>
              <w:spacing w:after="0"/>
              <w:rPr>
                <w:sz w:val="16"/>
                <w:szCs w:val="16"/>
                <w:color w:val="auto"/>
              </w:rPr>
            </w:pPr>
          </w:p>
        </w:tc>
        <w:tc>
          <w:tcPr>
            <w:tcW w:w="6460" w:type="dxa"/>
            <w:vAlign w:val="bottom"/>
            <w:gridSpan w:val="5"/>
            <w:shd w:val="clear" w:color="auto" w:fill="E6ECF8"/>
          </w:tcPr>
          <w:p>
            <w:pPr>
              <w:ind w:left="1220"/>
              <w:spacing w:after="0"/>
              <w:rPr>
                <w:sz w:val="20"/>
                <w:szCs w:val="20"/>
                <w:color w:val="auto"/>
              </w:rPr>
            </w:pPr>
            <w:r>
              <w:rPr>
                <w:rFonts w:ascii="Arial" w:cs="Arial" w:eastAsia="Arial" w:hAnsi="Arial"/>
                <w:sz w:val="16"/>
                <w:szCs w:val="16"/>
                <w:color w:val="auto"/>
              </w:rPr>
              <w:t>performs projects at the Compensation Committee's direction, and does</w:t>
            </w:r>
          </w:p>
        </w:tc>
      </w:tr>
      <w:tr>
        <w:trPr>
          <w:trHeight w:val="187"/>
        </w:trPr>
        <w:tc>
          <w:tcPr>
            <w:tcW w:w="4960" w:type="dxa"/>
            <w:vAlign w:val="bottom"/>
            <w:shd w:val="clear" w:color="auto" w:fill="E6ECF8"/>
          </w:tcPr>
          <w:p>
            <w:pPr>
              <w:spacing w:after="0"/>
              <w:rPr>
                <w:sz w:val="16"/>
                <w:szCs w:val="16"/>
                <w:color w:val="auto"/>
              </w:rPr>
            </w:pPr>
          </w:p>
        </w:tc>
        <w:tc>
          <w:tcPr>
            <w:tcW w:w="6460" w:type="dxa"/>
            <w:vAlign w:val="bottom"/>
            <w:gridSpan w:val="5"/>
            <w:shd w:val="clear" w:color="auto" w:fill="E6ECF8"/>
          </w:tcPr>
          <w:p>
            <w:pPr>
              <w:ind w:left="1220"/>
              <w:spacing w:after="0"/>
              <w:rPr>
                <w:sz w:val="20"/>
                <w:szCs w:val="20"/>
                <w:color w:val="auto"/>
              </w:rPr>
            </w:pPr>
            <w:r>
              <w:rPr>
                <w:rFonts w:ascii="Arial" w:cs="Arial" w:eastAsia="Arial" w:hAnsi="Arial"/>
                <w:sz w:val="16"/>
                <w:szCs w:val="16"/>
                <w:color w:val="auto"/>
              </w:rPr>
              <w:t>not otherwise perform any other consulting or other services for us.</w:t>
            </w:r>
          </w:p>
        </w:tc>
      </w:tr>
      <w:tr>
        <w:trPr>
          <w:trHeight w:val="383"/>
        </w:trPr>
        <w:tc>
          <w:tcPr>
            <w:tcW w:w="4960" w:type="dxa"/>
            <w:vAlign w:val="bottom"/>
            <w:shd w:val="clear" w:color="auto" w:fill="D0DBEF"/>
          </w:tcPr>
          <w:p>
            <w:pPr>
              <w:spacing w:after="0"/>
              <w:rPr>
                <w:sz w:val="20"/>
                <w:szCs w:val="20"/>
                <w:color w:val="auto"/>
              </w:rPr>
            </w:pPr>
            <w:r>
              <w:rPr>
                <w:rFonts w:ascii="Arial" w:cs="Arial" w:eastAsia="Arial" w:hAnsi="Arial"/>
                <w:sz w:val="16"/>
                <w:szCs w:val="16"/>
                <w:color w:val="auto"/>
              </w:rPr>
              <w:t>Stock Ownership Guidelines</w:t>
            </w:r>
          </w:p>
        </w:tc>
        <w:tc>
          <w:tcPr>
            <w:tcW w:w="6460" w:type="dxa"/>
            <w:vAlign w:val="bottom"/>
            <w:gridSpan w:val="5"/>
            <w:shd w:val="clear" w:color="auto" w:fill="D0DBEF"/>
          </w:tcPr>
          <w:p>
            <w:pPr>
              <w:ind w:left="1220"/>
              <w:spacing w:after="0"/>
              <w:rPr>
                <w:sz w:val="20"/>
                <w:szCs w:val="20"/>
                <w:color w:val="auto"/>
              </w:rPr>
            </w:pPr>
            <w:r>
              <w:rPr>
                <w:rFonts w:ascii="Arial" w:cs="Arial" w:eastAsia="Arial" w:hAnsi="Arial"/>
                <w:sz w:val="16"/>
                <w:szCs w:val="16"/>
                <w:color w:val="auto"/>
              </w:rPr>
              <w:t>To further align the interests of senior management with the interests of</w:t>
            </w:r>
          </w:p>
        </w:tc>
      </w:tr>
      <w:tr>
        <w:trPr>
          <w:trHeight w:val="190"/>
        </w:trPr>
        <w:tc>
          <w:tcPr>
            <w:tcW w:w="4960" w:type="dxa"/>
            <w:vAlign w:val="bottom"/>
            <w:shd w:val="clear" w:color="auto" w:fill="D0DBEF"/>
          </w:tcPr>
          <w:p>
            <w:pPr>
              <w:spacing w:after="0"/>
              <w:rPr>
                <w:sz w:val="16"/>
                <w:szCs w:val="16"/>
                <w:color w:val="auto"/>
              </w:rPr>
            </w:pPr>
          </w:p>
        </w:tc>
        <w:tc>
          <w:tcPr>
            <w:tcW w:w="6460" w:type="dxa"/>
            <w:vAlign w:val="bottom"/>
            <w:gridSpan w:val="5"/>
            <w:shd w:val="clear" w:color="auto" w:fill="D0DBEF"/>
          </w:tcPr>
          <w:p>
            <w:pPr>
              <w:ind w:left="1220"/>
              <w:spacing w:after="0"/>
              <w:rPr>
                <w:sz w:val="20"/>
                <w:szCs w:val="20"/>
                <w:color w:val="auto"/>
              </w:rPr>
            </w:pPr>
            <w:r>
              <w:rPr>
                <w:rFonts w:ascii="Arial" w:cs="Arial" w:eastAsia="Arial" w:hAnsi="Arial"/>
                <w:sz w:val="16"/>
                <w:szCs w:val="16"/>
                <w:color w:val="auto"/>
              </w:rPr>
              <w:t>shareholders and promote a long-term perspective, our directors and</w:t>
            </w:r>
          </w:p>
        </w:tc>
      </w:tr>
      <w:tr>
        <w:trPr>
          <w:trHeight w:val="190"/>
        </w:trPr>
        <w:tc>
          <w:tcPr>
            <w:tcW w:w="4960" w:type="dxa"/>
            <w:vAlign w:val="bottom"/>
            <w:shd w:val="clear" w:color="auto" w:fill="D0DBEF"/>
          </w:tcPr>
          <w:p>
            <w:pPr>
              <w:spacing w:after="0"/>
              <w:rPr>
                <w:sz w:val="16"/>
                <w:szCs w:val="16"/>
                <w:color w:val="auto"/>
              </w:rPr>
            </w:pPr>
          </w:p>
        </w:tc>
        <w:tc>
          <w:tcPr>
            <w:tcW w:w="6460" w:type="dxa"/>
            <w:vAlign w:val="bottom"/>
            <w:gridSpan w:val="5"/>
            <w:shd w:val="clear" w:color="auto" w:fill="D0DBEF"/>
          </w:tcPr>
          <w:p>
            <w:pPr>
              <w:ind w:left="1220"/>
              <w:spacing w:after="0"/>
              <w:rPr>
                <w:sz w:val="20"/>
                <w:szCs w:val="20"/>
                <w:color w:val="auto"/>
              </w:rPr>
            </w:pPr>
            <w:r>
              <w:rPr>
                <w:rFonts w:ascii="Arial" w:cs="Arial" w:eastAsia="Arial" w:hAnsi="Arial"/>
                <w:sz w:val="16"/>
                <w:szCs w:val="16"/>
                <w:color w:val="auto"/>
              </w:rPr>
              <w:t>senior officers are subject to stock ownership guidelines with the</w:t>
            </w:r>
          </w:p>
        </w:tc>
      </w:tr>
      <w:tr>
        <w:trPr>
          <w:trHeight w:val="197"/>
        </w:trPr>
        <w:tc>
          <w:tcPr>
            <w:tcW w:w="4960" w:type="dxa"/>
            <w:vAlign w:val="bottom"/>
            <w:shd w:val="clear" w:color="auto" w:fill="D0DBEF"/>
          </w:tcPr>
          <w:p>
            <w:pPr>
              <w:spacing w:after="0"/>
              <w:rPr>
                <w:sz w:val="17"/>
                <w:szCs w:val="17"/>
                <w:color w:val="auto"/>
              </w:rPr>
            </w:pPr>
          </w:p>
        </w:tc>
        <w:tc>
          <w:tcPr>
            <w:tcW w:w="5780" w:type="dxa"/>
            <w:vAlign w:val="bottom"/>
            <w:gridSpan w:val="4"/>
            <w:shd w:val="clear" w:color="auto" w:fill="D0DBEF"/>
          </w:tcPr>
          <w:p>
            <w:pPr>
              <w:ind w:left="1220"/>
              <w:spacing w:after="0"/>
              <w:rPr>
                <w:sz w:val="20"/>
                <w:szCs w:val="20"/>
                <w:color w:val="auto"/>
              </w:rPr>
            </w:pPr>
            <w:r>
              <w:rPr>
                <w:rFonts w:ascii="Arial" w:cs="Arial" w:eastAsia="Arial" w:hAnsi="Arial"/>
                <w:sz w:val="16"/>
                <w:szCs w:val="16"/>
                <w:color w:val="auto"/>
              </w:rPr>
              <w:t>following share ownership targets:</w:t>
            </w:r>
          </w:p>
        </w:tc>
        <w:tc>
          <w:tcPr>
            <w:tcW w:w="680" w:type="dxa"/>
            <w:vAlign w:val="bottom"/>
            <w:shd w:val="clear" w:color="auto" w:fill="D0DBEF"/>
          </w:tcPr>
          <w:p>
            <w:pPr>
              <w:spacing w:after="0"/>
              <w:rPr>
                <w:sz w:val="17"/>
                <w:szCs w:val="17"/>
                <w:color w:val="auto"/>
              </w:rPr>
            </w:pPr>
          </w:p>
        </w:tc>
      </w:tr>
      <w:tr>
        <w:trPr>
          <w:trHeight w:val="373"/>
        </w:trPr>
        <w:tc>
          <w:tcPr>
            <w:tcW w:w="4960" w:type="dxa"/>
            <w:vAlign w:val="bottom"/>
            <w:shd w:val="clear" w:color="auto" w:fill="D0DBEF"/>
          </w:tcPr>
          <w:p>
            <w:pPr>
              <w:spacing w:after="0"/>
              <w:rPr>
                <w:sz w:val="24"/>
                <w:szCs w:val="24"/>
                <w:color w:val="auto"/>
              </w:rPr>
            </w:pPr>
          </w:p>
        </w:tc>
        <w:tc>
          <w:tcPr>
            <w:tcW w:w="1320" w:type="dxa"/>
            <w:vAlign w:val="bottom"/>
            <w:shd w:val="clear" w:color="auto" w:fill="D0DBEF"/>
          </w:tcPr>
          <w:p>
            <w:pPr>
              <w:ind w:left="1220"/>
              <w:spacing w:after="0"/>
              <w:rPr>
                <w:sz w:val="20"/>
                <w:szCs w:val="20"/>
                <w:color w:val="auto"/>
              </w:rPr>
            </w:pPr>
            <w:r>
              <w:rPr>
                <w:rFonts w:ascii="Arial" w:cs="Arial" w:eastAsia="Arial" w:hAnsi="Arial"/>
                <w:sz w:val="16"/>
                <w:szCs w:val="16"/>
                <w:color w:val="5668B0"/>
              </w:rPr>
              <w:t>•</w:t>
            </w:r>
          </w:p>
        </w:tc>
        <w:tc>
          <w:tcPr>
            <w:tcW w:w="5140" w:type="dxa"/>
            <w:vAlign w:val="bottom"/>
            <w:gridSpan w:val="4"/>
            <w:shd w:val="clear" w:color="auto" w:fill="D0DBEF"/>
          </w:tcPr>
          <w:p>
            <w:pPr>
              <w:ind w:left="40"/>
              <w:spacing w:after="0"/>
              <w:rPr>
                <w:sz w:val="20"/>
                <w:szCs w:val="20"/>
                <w:color w:val="auto"/>
              </w:rPr>
            </w:pPr>
            <w:r>
              <w:rPr>
                <w:rFonts w:ascii="Arial" w:cs="Arial" w:eastAsia="Arial" w:hAnsi="Arial"/>
                <w:sz w:val="16"/>
                <w:szCs w:val="16"/>
                <w:color w:val="auto"/>
              </w:rPr>
              <w:t>Chairman of the Board and Chief Executive Officer, six times (6x)</w:t>
            </w:r>
          </w:p>
        </w:tc>
      </w:tr>
      <w:tr>
        <w:trPr>
          <w:trHeight w:val="197"/>
        </w:trPr>
        <w:tc>
          <w:tcPr>
            <w:tcW w:w="4960" w:type="dxa"/>
            <w:vAlign w:val="bottom"/>
            <w:shd w:val="clear" w:color="auto" w:fill="D0DBEF"/>
          </w:tcPr>
          <w:p>
            <w:pPr>
              <w:spacing w:after="0"/>
              <w:rPr>
                <w:sz w:val="17"/>
                <w:szCs w:val="17"/>
                <w:color w:val="auto"/>
              </w:rPr>
            </w:pPr>
          </w:p>
        </w:tc>
        <w:tc>
          <w:tcPr>
            <w:tcW w:w="1320" w:type="dxa"/>
            <w:vAlign w:val="bottom"/>
            <w:shd w:val="clear" w:color="auto" w:fill="D0DBEF"/>
          </w:tcPr>
          <w:p>
            <w:pPr>
              <w:spacing w:after="0"/>
              <w:rPr>
                <w:sz w:val="17"/>
                <w:szCs w:val="17"/>
                <w:color w:val="auto"/>
              </w:rPr>
            </w:pPr>
          </w:p>
        </w:tc>
        <w:tc>
          <w:tcPr>
            <w:tcW w:w="4460" w:type="dxa"/>
            <w:vAlign w:val="bottom"/>
            <w:gridSpan w:val="3"/>
            <w:shd w:val="clear" w:color="auto" w:fill="D0DBEF"/>
          </w:tcPr>
          <w:p>
            <w:pPr>
              <w:ind w:left="40"/>
              <w:spacing w:after="0"/>
              <w:rPr>
                <w:sz w:val="20"/>
                <w:szCs w:val="20"/>
                <w:color w:val="auto"/>
              </w:rPr>
            </w:pPr>
            <w:r>
              <w:rPr>
                <w:rFonts w:ascii="Arial" w:cs="Arial" w:eastAsia="Arial" w:hAnsi="Arial"/>
                <w:sz w:val="16"/>
                <w:szCs w:val="16"/>
                <w:color w:val="auto"/>
              </w:rPr>
              <w:t>base salary;</w:t>
            </w:r>
          </w:p>
        </w:tc>
        <w:tc>
          <w:tcPr>
            <w:tcW w:w="680" w:type="dxa"/>
            <w:vAlign w:val="bottom"/>
            <w:shd w:val="clear" w:color="auto" w:fill="D0DBEF"/>
          </w:tcPr>
          <w:p>
            <w:pPr>
              <w:spacing w:after="0"/>
              <w:rPr>
                <w:sz w:val="17"/>
                <w:szCs w:val="17"/>
                <w:color w:val="auto"/>
              </w:rPr>
            </w:pPr>
          </w:p>
        </w:tc>
      </w:tr>
      <w:tr>
        <w:trPr>
          <w:trHeight w:val="392"/>
        </w:trPr>
        <w:tc>
          <w:tcPr>
            <w:tcW w:w="4960" w:type="dxa"/>
            <w:vAlign w:val="bottom"/>
            <w:shd w:val="clear" w:color="auto" w:fill="D0DBEF"/>
          </w:tcPr>
          <w:p>
            <w:pPr>
              <w:spacing w:after="0"/>
              <w:rPr>
                <w:sz w:val="24"/>
                <w:szCs w:val="24"/>
                <w:color w:val="auto"/>
              </w:rPr>
            </w:pPr>
          </w:p>
        </w:tc>
        <w:tc>
          <w:tcPr>
            <w:tcW w:w="1320" w:type="dxa"/>
            <w:vAlign w:val="bottom"/>
            <w:shd w:val="clear" w:color="auto" w:fill="D0DBEF"/>
          </w:tcPr>
          <w:p>
            <w:pPr>
              <w:ind w:left="1220"/>
              <w:spacing w:after="0"/>
              <w:rPr>
                <w:sz w:val="20"/>
                <w:szCs w:val="20"/>
                <w:color w:val="auto"/>
              </w:rPr>
            </w:pPr>
            <w:r>
              <w:rPr>
                <w:rFonts w:ascii="Arial" w:cs="Arial" w:eastAsia="Arial" w:hAnsi="Arial"/>
                <w:sz w:val="16"/>
                <w:szCs w:val="16"/>
                <w:color w:val="5668B0"/>
              </w:rPr>
              <w:t>•</w:t>
            </w:r>
          </w:p>
        </w:tc>
        <w:tc>
          <w:tcPr>
            <w:tcW w:w="4460" w:type="dxa"/>
            <w:vAlign w:val="bottom"/>
            <w:gridSpan w:val="3"/>
            <w:shd w:val="clear" w:color="auto" w:fill="D0DBEF"/>
          </w:tcPr>
          <w:p>
            <w:pPr>
              <w:ind w:left="40"/>
              <w:spacing w:after="0"/>
              <w:rPr>
                <w:sz w:val="20"/>
                <w:szCs w:val="20"/>
                <w:color w:val="auto"/>
              </w:rPr>
            </w:pPr>
            <w:r>
              <w:rPr>
                <w:rFonts w:ascii="Arial" w:cs="Arial" w:eastAsia="Arial" w:hAnsi="Arial"/>
                <w:sz w:val="16"/>
                <w:szCs w:val="16"/>
                <w:color w:val="auto"/>
              </w:rPr>
              <w:t>Chief Scientific Officer, three times (3x) base salary;</w:t>
            </w:r>
          </w:p>
        </w:tc>
        <w:tc>
          <w:tcPr>
            <w:tcW w:w="680" w:type="dxa"/>
            <w:vAlign w:val="bottom"/>
            <w:shd w:val="clear" w:color="auto" w:fill="D0DBEF"/>
          </w:tcPr>
          <w:p>
            <w:pPr>
              <w:spacing w:after="0"/>
              <w:rPr>
                <w:sz w:val="24"/>
                <w:szCs w:val="24"/>
                <w:color w:val="auto"/>
              </w:rPr>
            </w:pPr>
          </w:p>
        </w:tc>
      </w:tr>
      <w:tr>
        <w:trPr>
          <w:trHeight w:val="380"/>
        </w:trPr>
        <w:tc>
          <w:tcPr>
            <w:tcW w:w="4960" w:type="dxa"/>
            <w:vAlign w:val="bottom"/>
            <w:shd w:val="clear" w:color="auto" w:fill="D0DBEF"/>
          </w:tcPr>
          <w:p>
            <w:pPr>
              <w:spacing w:after="0"/>
              <w:rPr>
                <w:sz w:val="24"/>
                <w:szCs w:val="24"/>
                <w:color w:val="auto"/>
              </w:rPr>
            </w:pPr>
          </w:p>
        </w:tc>
        <w:tc>
          <w:tcPr>
            <w:tcW w:w="1320" w:type="dxa"/>
            <w:vAlign w:val="bottom"/>
            <w:shd w:val="clear" w:color="auto" w:fill="D0DBEF"/>
          </w:tcPr>
          <w:p>
            <w:pPr>
              <w:ind w:left="1220"/>
              <w:spacing w:after="0"/>
              <w:rPr>
                <w:sz w:val="20"/>
                <w:szCs w:val="20"/>
                <w:color w:val="auto"/>
              </w:rPr>
            </w:pPr>
            <w:r>
              <w:rPr>
                <w:rFonts w:ascii="Arial" w:cs="Arial" w:eastAsia="Arial" w:hAnsi="Arial"/>
                <w:sz w:val="16"/>
                <w:szCs w:val="16"/>
                <w:color w:val="5668B0"/>
              </w:rPr>
              <w:t>•</w:t>
            </w:r>
          </w:p>
        </w:tc>
        <w:tc>
          <w:tcPr>
            <w:tcW w:w="5140" w:type="dxa"/>
            <w:vAlign w:val="bottom"/>
            <w:gridSpan w:val="4"/>
            <w:shd w:val="clear" w:color="auto" w:fill="D0DBEF"/>
          </w:tcPr>
          <w:p>
            <w:pPr>
              <w:ind w:left="40"/>
              <w:spacing w:after="0"/>
              <w:rPr>
                <w:sz w:val="20"/>
                <w:szCs w:val="20"/>
                <w:color w:val="auto"/>
              </w:rPr>
            </w:pPr>
            <w:r>
              <w:rPr>
                <w:rFonts w:ascii="Arial" w:cs="Arial" w:eastAsia="Arial" w:hAnsi="Arial"/>
                <w:sz w:val="16"/>
                <w:szCs w:val="16"/>
                <w:color w:val="auto"/>
              </w:rPr>
              <w:t>Executive/Senior Vice Presidents, two times (2x) base salary; and</w:t>
            </w:r>
          </w:p>
        </w:tc>
      </w:tr>
      <w:tr>
        <w:trPr>
          <w:trHeight w:val="360"/>
        </w:trPr>
        <w:tc>
          <w:tcPr>
            <w:tcW w:w="4960" w:type="dxa"/>
            <w:vAlign w:val="bottom"/>
            <w:shd w:val="clear" w:color="auto" w:fill="D0DBEF"/>
          </w:tcPr>
          <w:p>
            <w:pPr>
              <w:spacing w:after="0"/>
              <w:rPr>
                <w:sz w:val="24"/>
                <w:szCs w:val="24"/>
                <w:color w:val="auto"/>
              </w:rPr>
            </w:pPr>
          </w:p>
        </w:tc>
        <w:tc>
          <w:tcPr>
            <w:tcW w:w="1320" w:type="dxa"/>
            <w:vAlign w:val="bottom"/>
            <w:shd w:val="clear" w:color="auto" w:fill="D0DBEF"/>
          </w:tcPr>
          <w:p>
            <w:pPr>
              <w:ind w:left="1220"/>
              <w:spacing w:after="0"/>
              <w:rPr>
                <w:sz w:val="20"/>
                <w:szCs w:val="20"/>
                <w:color w:val="auto"/>
              </w:rPr>
            </w:pPr>
            <w:r>
              <w:rPr>
                <w:rFonts w:ascii="Arial" w:cs="Arial" w:eastAsia="Arial" w:hAnsi="Arial"/>
                <w:sz w:val="16"/>
                <w:szCs w:val="16"/>
                <w:color w:val="5668B0"/>
              </w:rPr>
              <w:t>•</w:t>
            </w:r>
          </w:p>
        </w:tc>
        <w:tc>
          <w:tcPr>
            <w:tcW w:w="5140" w:type="dxa"/>
            <w:vAlign w:val="bottom"/>
            <w:gridSpan w:val="4"/>
            <w:shd w:val="clear" w:color="auto" w:fill="D0DBEF"/>
          </w:tcPr>
          <w:p>
            <w:pPr>
              <w:ind w:left="40"/>
              <w:spacing w:after="0"/>
              <w:rPr>
                <w:sz w:val="20"/>
                <w:szCs w:val="20"/>
                <w:color w:val="auto"/>
              </w:rPr>
            </w:pPr>
            <w:r>
              <w:rPr>
                <w:rFonts w:ascii="Arial" w:cs="Arial" w:eastAsia="Arial" w:hAnsi="Arial"/>
                <w:sz w:val="16"/>
                <w:szCs w:val="16"/>
                <w:color w:val="auto"/>
              </w:rPr>
              <w:t>Non-employee members of the board of directors, six times (6x) the</w:t>
            </w:r>
          </w:p>
        </w:tc>
      </w:tr>
      <w:tr>
        <w:trPr>
          <w:trHeight w:val="197"/>
        </w:trPr>
        <w:tc>
          <w:tcPr>
            <w:tcW w:w="4960" w:type="dxa"/>
            <w:vAlign w:val="bottom"/>
            <w:shd w:val="clear" w:color="auto" w:fill="D0DBEF"/>
          </w:tcPr>
          <w:p>
            <w:pPr>
              <w:spacing w:after="0"/>
              <w:rPr>
                <w:sz w:val="17"/>
                <w:szCs w:val="17"/>
                <w:color w:val="auto"/>
              </w:rPr>
            </w:pPr>
          </w:p>
        </w:tc>
        <w:tc>
          <w:tcPr>
            <w:tcW w:w="1320" w:type="dxa"/>
            <w:vAlign w:val="bottom"/>
            <w:shd w:val="clear" w:color="auto" w:fill="D0DBEF"/>
          </w:tcPr>
          <w:p>
            <w:pPr>
              <w:spacing w:after="0"/>
              <w:rPr>
                <w:sz w:val="17"/>
                <w:szCs w:val="17"/>
                <w:color w:val="auto"/>
              </w:rPr>
            </w:pPr>
          </w:p>
        </w:tc>
        <w:tc>
          <w:tcPr>
            <w:tcW w:w="4460" w:type="dxa"/>
            <w:vAlign w:val="bottom"/>
            <w:gridSpan w:val="3"/>
            <w:shd w:val="clear" w:color="auto" w:fill="D0DBEF"/>
          </w:tcPr>
          <w:p>
            <w:pPr>
              <w:ind w:left="40"/>
              <w:spacing w:after="0"/>
              <w:rPr>
                <w:sz w:val="20"/>
                <w:szCs w:val="20"/>
                <w:color w:val="auto"/>
              </w:rPr>
            </w:pPr>
            <w:r>
              <w:rPr>
                <w:rFonts w:ascii="Arial" w:cs="Arial" w:eastAsia="Arial" w:hAnsi="Arial"/>
                <w:sz w:val="16"/>
                <w:szCs w:val="16"/>
                <w:color w:val="auto"/>
              </w:rPr>
              <w:t>annual retainer.</w:t>
            </w:r>
          </w:p>
        </w:tc>
        <w:tc>
          <w:tcPr>
            <w:tcW w:w="680" w:type="dxa"/>
            <w:vAlign w:val="bottom"/>
            <w:shd w:val="clear" w:color="auto" w:fill="D0DBEF"/>
          </w:tcPr>
          <w:p>
            <w:pPr>
              <w:spacing w:after="0"/>
              <w:rPr>
                <w:sz w:val="17"/>
                <w:szCs w:val="17"/>
                <w:color w:val="auto"/>
              </w:rPr>
            </w:pPr>
          </w:p>
        </w:tc>
      </w:tr>
      <w:tr>
        <w:trPr>
          <w:trHeight w:val="385"/>
        </w:trPr>
        <w:tc>
          <w:tcPr>
            <w:tcW w:w="4960" w:type="dxa"/>
            <w:vAlign w:val="bottom"/>
            <w:shd w:val="clear" w:color="auto" w:fill="D0DBEF"/>
          </w:tcPr>
          <w:p>
            <w:pPr>
              <w:spacing w:after="0"/>
              <w:rPr>
                <w:sz w:val="24"/>
                <w:szCs w:val="24"/>
                <w:color w:val="auto"/>
              </w:rPr>
            </w:pPr>
          </w:p>
        </w:tc>
        <w:tc>
          <w:tcPr>
            <w:tcW w:w="6460" w:type="dxa"/>
            <w:vAlign w:val="bottom"/>
            <w:gridSpan w:val="5"/>
            <w:shd w:val="clear" w:color="auto" w:fill="D0DBEF"/>
          </w:tcPr>
          <w:p>
            <w:pPr>
              <w:ind w:left="1220"/>
              <w:spacing w:after="0"/>
              <w:rPr>
                <w:sz w:val="20"/>
                <w:szCs w:val="20"/>
                <w:color w:val="auto"/>
              </w:rPr>
            </w:pPr>
            <w:r>
              <w:rPr>
                <w:rFonts w:ascii="Arial" w:cs="Arial" w:eastAsia="Arial" w:hAnsi="Arial"/>
                <w:sz w:val="16"/>
                <w:szCs w:val="16"/>
                <w:color w:val="auto"/>
              </w:rPr>
              <w:t>All of our directors and senior officers subject to the stock ownership</w:t>
            </w:r>
          </w:p>
        </w:tc>
      </w:tr>
      <w:tr>
        <w:trPr>
          <w:trHeight w:val="190"/>
        </w:trPr>
        <w:tc>
          <w:tcPr>
            <w:tcW w:w="4960" w:type="dxa"/>
            <w:vAlign w:val="bottom"/>
            <w:shd w:val="clear" w:color="auto" w:fill="D0DBEF"/>
          </w:tcPr>
          <w:p>
            <w:pPr>
              <w:spacing w:after="0"/>
              <w:rPr>
                <w:sz w:val="16"/>
                <w:szCs w:val="16"/>
                <w:color w:val="auto"/>
              </w:rPr>
            </w:pPr>
          </w:p>
        </w:tc>
        <w:tc>
          <w:tcPr>
            <w:tcW w:w="6460" w:type="dxa"/>
            <w:vAlign w:val="bottom"/>
            <w:gridSpan w:val="5"/>
            <w:shd w:val="clear" w:color="auto" w:fill="D0DBEF"/>
          </w:tcPr>
          <w:p>
            <w:pPr>
              <w:ind w:left="1220"/>
              <w:spacing w:after="0"/>
              <w:rPr>
                <w:sz w:val="20"/>
                <w:szCs w:val="20"/>
                <w:color w:val="auto"/>
              </w:rPr>
            </w:pPr>
            <w:r>
              <w:rPr>
                <w:rFonts w:ascii="Arial" w:cs="Arial" w:eastAsia="Arial" w:hAnsi="Arial"/>
                <w:sz w:val="16"/>
                <w:szCs w:val="16"/>
                <w:color w:val="auto"/>
              </w:rPr>
              <w:t>guidelines have either met their respective share ownership targets or</w:t>
            </w:r>
          </w:p>
        </w:tc>
      </w:tr>
      <w:tr>
        <w:trPr>
          <w:trHeight w:val="187"/>
        </w:trPr>
        <w:tc>
          <w:tcPr>
            <w:tcW w:w="4960" w:type="dxa"/>
            <w:vAlign w:val="bottom"/>
            <w:shd w:val="clear" w:color="auto" w:fill="D0DBEF"/>
          </w:tcPr>
          <w:p>
            <w:pPr>
              <w:spacing w:after="0"/>
              <w:rPr>
                <w:sz w:val="16"/>
                <w:szCs w:val="16"/>
                <w:color w:val="auto"/>
              </w:rPr>
            </w:pPr>
          </w:p>
        </w:tc>
        <w:tc>
          <w:tcPr>
            <w:tcW w:w="5780" w:type="dxa"/>
            <w:vAlign w:val="bottom"/>
            <w:gridSpan w:val="4"/>
            <w:shd w:val="clear" w:color="auto" w:fill="D0DBEF"/>
          </w:tcPr>
          <w:p>
            <w:pPr>
              <w:ind w:left="1220"/>
              <w:spacing w:after="0"/>
              <w:rPr>
                <w:sz w:val="20"/>
                <w:szCs w:val="20"/>
                <w:color w:val="auto"/>
              </w:rPr>
            </w:pPr>
            <w:r>
              <w:rPr>
                <w:rFonts w:ascii="Arial" w:cs="Arial" w:eastAsia="Arial" w:hAnsi="Arial"/>
                <w:sz w:val="16"/>
                <w:szCs w:val="16"/>
                <w:color w:val="auto"/>
              </w:rPr>
              <w:t>are still within the five-year period for achieving compliance.</w:t>
            </w:r>
          </w:p>
        </w:tc>
        <w:tc>
          <w:tcPr>
            <w:tcW w:w="680" w:type="dxa"/>
            <w:vAlign w:val="bottom"/>
            <w:shd w:val="clear" w:color="auto" w:fill="D0DBEF"/>
          </w:tcPr>
          <w:p>
            <w:pPr>
              <w:spacing w:after="0"/>
              <w:rPr>
                <w:sz w:val="16"/>
                <w:szCs w:val="16"/>
                <w:color w:val="auto"/>
              </w:rPr>
            </w:pPr>
          </w:p>
        </w:tc>
      </w:tr>
      <w:tr>
        <w:trPr>
          <w:trHeight w:val="421"/>
        </w:trPr>
        <w:tc>
          <w:tcPr>
            <w:tcW w:w="4960" w:type="dxa"/>
            <w:vAlign w:val="bottom"/>
            <w:shd w:val="clear" w:color="auto" w:fill="E6ECF8"/>
          </w:tcPr>
          <w:p>
            <w:pPr>
              <w:spacing w:after="0"/>
              <w:rPr>
                <w:sz w:val="20"/>
                <w:szCs w:val="20"/>
                <w:color w:val="auto"/>
              </w:rPr>
            </w:pPr>
            <w:r>
              <w:rPr>
                <w:rFonts w:ascii="Arial" w:cs="Arial" w:eastAsia="Arial" w:hAnsi="Arial"/>
                <w:sz w:val="16"/>
                <w:szCs w:val="16"/>
                <w:color w:val="auto"/>
              </w:rPr>
              <w:t>Transparent Equity Granting Process and Practices</w:t>
            </w:r>
          </w:p>
        </w:tc>
        <w:tc>
          <w:tcPr>
            <w:tcW w:w="6460" w:type="dxa"/>
            <w:vAlign w:val="bottom"/>
            <w:gridSpan w:val="5"/>
            <w:shd w:val="clear" w:color="auto" w:fill="E6ECF8"/>
          </w:tcPr>
          <w:p>
            <w:pPr>
              <w:ind w:left="1220"/>
              <w:spacing w:after="0"/>
              <w:rPr>
                <w:sz w:val="20"/>
                <w:szCs w:val="20"/>
                <w:color w:val="auto"/>
              </w:rPr>
            </w:pPr>
            <w:r>
              <w:rPr>
                <w:rFonts w:ascii="Arial" w:cs="Arial" w:eastAsia="Arial" w:hAnsi="Arial"/>
                <w:sz w:val="16"/>
                <w:szCs w:val="16"/>
                <w:color w:val="auto"/>
              </w:rPr>
              <w:t>Annual stock option awards to eligible employees are made by the</w:t>
            </w:r>
          </w:p>
        </w:tc>
      </w:tr>
      <w:tr>
        <w:trPr>
          <w:trHeight w:val="190"/>
        </w:trPr>
        <w:tc>
          <w:tcPr>
            <w:tcW w:w="4960" w:type="dxa"/>
            <w:vAlign w:val="bottom"/>
            <w:shd w:val="clear" w:color="auto" w:fill="E6ECF8"/>
          </w:tcPr>
          <w:p>
            <w:pPr>
              <w:spacing w:after="0"/>
              <w:rPr>
                <w:sz w:val="16"/>
                <w:szCs w:val="16"/>
                <w:color w:val="auto"/>
              </w:rPr>
            </w:pPr>
          </w:p>
        </w:tc>
        <w:tc>
          <w:tcPr>
            <w:tcW w:w="6460" w:type="dxa"/>
            <w:vAlign w:val="bottom"/>
            <w:gridSpan w:val="5"/>
            <w:shd w:val="clear" w:color="auto" w:fill="E6ECF8"/>
          </w:tcPr>
          <w:p>
            <w:pPr>
              <w:ind w:left="1220"/>
              <w:spacing w:after="0"/>
              <w:rPr>
                <w:sz w:val="20"/>
                <w:szCs w:val="20"/>
                <w:color w:val="auto"/>
              </w:rPr>
            </w:pPr>
            <w:r>
              <w:rPr>
                <w:rFonts w:ascii="Arial" w:cs="Arial" w:eastAsia="Arial" w:hAnsi="Arial"/>
                <w:sz w:val="16"/>
                <w:szCs w:val="16"/>
                <w:color w:val="auto"/>
              </w:rPr>
              <w:t>Compensation Committee according to a regular, pre-set schedule. The</w:t>
            </w:r>
          </w:p>
        </w:tc>
      </w:tr>
      <w:tr>
        <w:trPr>
          <w:trHeight w:val="190"/>
        </w:trPr>
        <w:tc>
          <w:tcPr>
            <w:tcW w:w="4960" w:type="dxa"/>
            <w:vAlign w:val="bottom"/>
            <w:shd w:val="clear" w:color="auto" w:fill="E6ECF8"/>
          </w:tcPr>
          <w:p>
            <w:pPr>
              <w:spacing w:after="0"/>
              <w:rPr>
                <w:sz w:val="16"/>
                <w:szCs w:val="16"/>
                <w:color w:val="auto"/>
              </w:rPr>
            </w:pPr>
          </w:p>
        </w:tc>
        <w:tc>
          <w:tcPr>
            <w:tcW w:w="6460" w:type="dxa"/>
            <w:vAlign w:val="bottom"/>
            <w:gridSpan w:val="5"/>
            <w:shd w:val="clear" w:color="auto" w:fill="E6ECF8"/>
          </w:tcPr>
          <w:p>
            <w:pPr>
              <w:ind w:left="1220"/>
              <w:spacing w:after="0"/>
              <w:rPr>
                <w:sz w:val="20"/>
                <w:szCs w:val="20"/>
                <w:color w:val="auto"/>
              </w:rPr>
            </w:pPr>
            <w:r>
              <w:rPr>
                <w:rFonts w:ascii="Arial" w:cs="Arial" w:eastAsia="Arial" w:hAnsi="Arial"/>
                <w:sz w:val="16"/>
                <w:szCs w:val="16"/>
                <w:color w:val="auto"/>
              </w:rPr>
              <w:t>meetings at which such grants are approved are generally scheduled</w:t>
            </w:r>
          </w:p>
        </w:tc>
      </w:tr>
      <w:tr>
        <w:trPr>
          <w:trHeight w:val="190"/>
        </w:trPr>
        <w:tc>
          <w:tcPr>
            <w:tcW w:w="4960" w:type="dxa"/>
            <w:vAlign w:val="bottom"/>
            <w:shd w:val="clear" w:color="auto" w:fill="E6ECF8"/>
          </w:tcPr>
          <w:p>
            <w:pPr>
              <w:spacing w:after="0"/>
              <w:rPr>
                <w:sz w:val="16"/>
                <w:szCs w:val="16"/>
                <w:color w:val="auto"/>
              </w:rPr>
            </w:pPr>
          </w:p>
        </w:tc>
        <w:tc>
          <w:tcPr>
            <w:tcW w:w="6460" w:type="dxa"/>
            <w:vAlign w:val="bottom"/>
            <w:gridSpan w:val="5"/>
            <w:shd w:val="clear" w:color="auto" w:fill="E6ECF8"/>
          </w:tcPr>
          <w:p>
            <w:pPr>
              <w:ind w:left="1220"/>
              <w:spacing w:after="0"/>
              <w:rPr>
                <w:sz w:val="20"/>
                <w:szCs w:val="20"/>
                <w:color w:val="auto"/>
              </w:rPr>
            </w:pPr>
            <w:r>
              <w:rPr>
                <w:rFonts w:ascii="Arial" w:cs="Arial" w:eastAsia="Arial" w:hAnsi="Arial"/>
                <w:sz w:val="16"/>
                <w:szCs w:val="16"/>
                <w:color w:val="auto"/>
              </w:rPr>
              <w:t>about a year in advance, without regard to the timing of earnings or</w:t>
            </w:r>
          </w:p>
        </w:tc>
      </w:tr>
      <w:tr>
        <w:trPr>
          <w:trHeight w:val="187"/>
        </w:trPr>
        <w:tc>
          <w:tcPr>
            <w:tcW w:w="4960" w:type="dxa"/>
            <w:vAlign w:val="bottom"/>
            <w:shd w:val="clear" w:color="auto" w:fill="E6ECF8"/>
          </w:tcPr>
          <w:p>
            <w:pPr>
              <w:spacing w:after="0"/>
              <w:rPr>
                <w:sz w:val="16"/>
                <w:szCs w:val="16"/>
                <w:color w:val="auto"/>
              </w:rPr>
            </w:pPr>
          </w:p>
        </w:tc>
        <w:tc>
          <w:tcPr>
            <w:tcW w:w="5780" w:type="dxa"/>
            <w:vAlign w:val="bottom"/>
            <w:gridSpan w:val="4"/>
            <w:shd w:val="clear" w:color="auto" w:fill="E6ECF8"/>
          </w:tcPr>
          <w:p>
            <w:pPr>
              <w:ind w:left="1220"/>
              <w:spacing w:after="0"/>
              <w:rPr>
                <w:sz w:val="20"/>
                <w:szCs w:val="20"/>
                <w:color w:val="auto"/>
              </w:rPr>
            </w:pPr>
            <w:r>
              <w:rPr>
                <w:rFonts w:ascii="Arial" w:cs="Arial" w:eastAsia="Arial" w:hAnsi="Arial"/>
                <w:sz w:val="16"/>
                <w:szCs w:val="16"/>
                <w:color w:val="auto"/>
              </w:rPr>
              <w:t>other major announcements.</w:t>
            </w:r>
          </w:p>
        </w:tc>
        <w:tc>
          <w:tcPr>
            <w:tcW w:w="680" w:type="dxa"/>
            <w:vAlign w:val="bottom"/>
            <w:shd w:val="clear" w:color="auto" w:fill="E6ECF8"/>
          </w:tcPr>
          <w:p>
            <w:pPr>
              <w:spacing w:after="0"/>
              <w:rPr>
                <w:sz w:val="16"/>
                <w:szCs w:val="16"/>
                <w:color w:val="auto"/>
              </w:rPr>
            </w:pPr>
          </w:p>
        </w:tc>
      </w:tr>
      <w:tr>
        <w:trPr>
          <w:trHeight w:val="421"/>
        </w:trPr>
        <w:tc>
          <w:tcPr>
            <w:tcW w:w="4960" w:type="dxa"/>
            <w:vAlign w:val="bottom"/>
            <w:shd w:val="clear" w:color="auto" w:fill="D0DBEF"/>
          </w:tcPr>
          <w:p>
            <w:pPr>
              <w:spacing w:after="0"/>
              <w:rPr>
                <w:sz w:val="20"/>
                <w:szCs w:val="20"/>
                <w:color w:val="auto"/>
              </w:rPr>
            </w:pPr>
            <w:r>
              <w:rPr>
                <w:rFonts w:ascii="Arial" w:cs="Arial" w:eastAsia="Arial" w:hAnsi="Arial"/>
                <w:sz w:val="16"/>
                <w:szCs w:val="16"/>
                <w:color w:val="auto"/>
              </w:rPr>
              <w:t>Recoupment Policy</w:t>
            </w:r>
          </w:p>
        </w:tc>
        <w:tc>
          <w:tcPr>
            <w:tcW w:w="6460" w:type="dxa"/>
            <w:vAlign w:val="bottom"/>
            <w:gridSpan w:val="5"/>
            <w:shd w:val="clear" w:color="auto" w:fill="D0DBEF"/>
          </w:tcPr>
          <w:p>
            <w:pPr>
              <w:ind w:left="1220"/>
              <w:spacing w:after="0"/>
              <w:rPr>
                <w:sz w:val="20"/>
                <w:szCs w:val="20"/>
                <w:color w:val="auto"/>
              </w:rPr>
            </w:pPr>
            <w:r>
              <w:rPr>
                <w:rFonts w:ascii="Arial" w:cs="Arial" w:eastAsia="Arial" w:hAnsi="Arial"/>
                <w:sz w:val="16"/>
                <w:szCs w:val="16"/>
                <w:color w:val="auto"/>
              </w:rPr>
              <w:t>We have a policy regarding recoupment or reduction of incentive</w:t>
            </w:r>
          </w:p>
        </w:tc>
      </w:tr>
      <w:tr>
        <w:trPr>
          <w:trHeight w:val="190"/>
        </w:trPr>
        <w:tc>
          <w:tcPr>
            <w:tcW w:w="4960" w:type="dxa"/>
            <w:vAlign w:val="bottom"/>
            <w:shd w:val="clear" w:color="auto" w:fill="D0DBEF"/>
          </w:tcPr>
          <w:p>
            <w:pPr>
              <w:spacing w:after="0"/>
              <w:rPr>
                <w:sz w:val="16"/>
                <w:szCs w:val="16"/>
                <w:color w:val="auto"/>
              </w:rPr>
            </w:pPr>
          </w:p>
        </w:tc>
        <w:tc>
          <w:tcPr>
            <w:tcW w:w="6460" w:type="dxa"/>
            <w:vAlign w:val="bottom"/>
            <w:gridSpan w:val="5"/>
            <w:shd w:val="clear" w:color="auto" w:fill="D0DBEF"/>
          </w:tcPr>
          <w:p>
            <w:pPr>
              <w:ind w:left="1220"/>
              <w:spacing w:after="0"/>
              <w:rPr>
                <w:sz w:val="20"/>
                <w:szCs w:val="20"/>
                <w:color w:val="auto"/>
              </w:rPr>
            </w:pPr>
            <w:r>
              <w:rPr>
                <w:rFonts w:ascii="Arial" w:cs="Arial" w:eastAsia="Arial" w:hAnsi="Arial"/>
                <w:sz w:val="16"/>
                <w:szCs w:val="16"/>
                <w:color w:val="auto"/>
              </w:rPr>
              <w:t>compensation for compliance violations that is applicable to our officers,</w:t>
            </w:r>
          </w:p>
        </w:tc>
      </w:tr>
      <w:tr>
        <w:trPr>
          <w:trHeight w:val="187"/>
        </w:trPr>
        <w:tc>
          <w:tcPr>
            <w:tcW w:w="4960" w:type="dxa"/>
            <w:vAlign w:val="bottom"/>
            <w:shd w:val="clear" w:color="auto" w:fill="D0DBEF"/>
          </w:tcPr>
          <w:p>
            <w:pPr>
              <w:spacing w:after="0"/>
              <w:rPr>
                <w:sz w:val="16"/>
                <w:szCs w:val="16"/>
                <w:color w:val="auto"/>
              </w:rPr>
            </w:pPr>
          </w:p>
        </w:tc>
        <w:tc>
          <w:tcPr>
            <w:tcW w:w="5780" w:type="dxa"/>
            <w:vAlign w:val="bottom"/>
            <w:gridSpan w:val="4"/>
            <w:shd w:val="clear" w:color="auto" w:fill="D0DBEF"/>
          </w:tcPr>
          <w:p>
            <w:pPr>
              <w:ind w:left="1220"/>
              <w:spacing w:after="0"/>
              <w:rPr>
                <w:sz w:val="20"/>
                <w:szCs w:val="20"/>
                <w:color w:val="auto"/>
              </w:rPr>
            </w:pPr>
            <w:r>
              <w:rPr>
                <w:rFonts w:ascii="Arial" w:cs="Arial" w:eastAsia="Arial" w:hAnsi="Arial"/>
                <w:sz w:val="16"/>
                <w:szCs w:val="16"/>
                <w:color w:val="auto"/>
              </w:rPr>
              <w:t>including the Named Officers, and other specified employees.</w:t>
            </w:r>
          </w:p>
        </w:tc>
        <w:tc>
          <w:tcPr>
            <w:tcW w:w="680" w:type="dxa"/>
            <w:vAlign w:val="bottom"/>
            <w:shd w:val="clear" w:color="auto" w:fill="D0DBEF"/>
          </w:tcPr>
          <w:p>
            <w:pPr>
              <w:spacing w:after="0"/>
              <w:rPr>
                <w:sz w:val="16"/>
                <w:szCs w:val="16"/>
                <w:color w:val="auto"/>
              </w:rPr>
            </w:pPr>
          </w:p>
        </w:tc>
      </w:tr>
      <w:tr>
        <w:trPr>
          <w:trHeight w:val="202"/>
        </w:trPr>
        <w:tc>
          <w:tcPr>
            <w:tcW w:w="4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4"/>
        </w:trPr>
        <w:tc>
          <w:tcPr>
            <w:tcW w:w="4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320" w:type="dxa"/>
            <w:vAlign w:val="bottom"/>
            <w:shd w:val="clear" w:color="auto" w:fill="183394"/>
          </w:tcPr>
          <w:p>
            <w:pPr>
              <w:spacing w:after="0"/>
              <w:rPr>
                <w:sz w:val="24"/>
                <w:szCs w:val="24"/>
                <w:color w:val="auto"/>
              </w:rPr>
            </w:pPr>
          </w:p>
        </w:tc>
        <w:tc>
          <w:tcPr>
            <w:tcW w:w="68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39</w:t>
            </w:r>
          </w:p>
        </w:tc>
      </w:tr>
      <w:tr>
        <w:trPr>
          <w:trHeight w:val="110"/>
        </w:trPr>
        <w:tc>
          <w:tcPr>
            <w:tcW w:w="4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371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5510" cy="3371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6160" w:val="left"/>
        </w:tabs>
        <w:rPr>
          <w:sz w:val="20"/>
          <w:szCs w:val="20"/>
          <w:color w:val="auto"/>
        </w:rPr>
      </w:pPr>
      <w:r>
        <w:rPr>
          <w:rFonts w:ascii="Arial" w:cs="Arial" w:eastAsia="Arial" w:hAnsi="Arial"/>
          <w:sz w:val="13"/>
          <w:szCs w:val="13"/>
          <w:color w:val="FFFFFE"/>
        </w:rPr>
        <w:t>Policy/Practice</w:t>
      </w:r>
      <w:r>
        <w:rPr>
          <w:sz w:val="20"/>
          <w:szCs w:val="20"/>
          <w:color w:val="auto"/>
        </w:rPr>
        <w:tab/>
      </w:r>
      <w:r>
        <w:rPr>
          <w:rFonts w:ascii="Arial" w:cs="Arial" w:eastAsia="Arial" w:hAnsi="Arial"/>
          <w:sz w:val="13"/>
          <w:szCs w:val="13"/>
          <w:color w:val="FFFFFE"/>
        </w:rPr>
        <w:t>Description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5280" w:type="dxa"/>
            <w:vAlign w:val="bottom"/>
            <w:shd w:val="clear" w:color="auto" w:fill="E6ECF8"/>
          </w:tcPr>
          <w:p>
            <w:pPr>
              <w:spacing w:after="0"/>
              <w:rPr>
                <w:sz w:val="20"/>
                <w:szCs w:val="20"/>
                <w:color w:val="auto"/>
              </w:rPr>
            </w:pPr>
            <w:r>
              <w:rPr>
                <w:rFonts w:ascii="Arial" w:cs="Arial" w:eastAsia="Arial" w:hAnsi="Arial"/>
                <w:sz w:val="16"/>
                <w:szCs w:val="16"/>
                <w:color w:val="auto"/>
              </w:rPr>
              <w:t>Prohibition Against Hedging and Pledging of Our Securities</w:t>
            </w: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We have a policy against hedging and pledging of our securities by our</w:t>
            </w:r>
          </w:p>
        </w:tc>
      </w:tr>
      <w:tr>
        <w:trPr>
          <w:trHeight w:val="187"/>
        </w:trPr>
        <w:tc>
          <w:tcPr>
            <w:tcW w:w="5280" w:type="dxa"/>
            <w:vAlign w:val="bottom"/>
            <w:shd w:val="clear" w:color="auto" w:fill="E6ECF8"/>
          </w:tcPr>
          <w:p>
            <w:pPr>
              <w:spacing w:after="0"/>
              <w:rPr>
                <w:sz w:val="16"/>
                <w:szCs w:val="16"/>
                <w:color w:val="auto"/>
              </w:rPr>
            </w:pP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directors and employees, including the Named Officers.</w:t>
            </w:r>
          </w:p>
        </w:tc>
      </w:tr>
      <w:tr>
        <w:trPr>
          <w:trHeight w:val="421"/>
        </w:trPr>
        <w:tc>
          <w:tcPr>
            <w:tcW w:w="5280" w:type="dxa"/>
            <w:vAlign w:val="bottom"/>
            <w:shd w:val="clear" w:color="auto" w:fill="D0DBEF"/>
          </w:tcPr>
          <w:p>
            <w:pPr>
              <w:spacing w:after="0"/>
              <w:rPr>
                <w:sz w:val="20"/>
                <w:szCs w:val="20"/>
                <w:color w:val="auto"/>
              </w:rPr>
            </w:pPr>
            <w:r>
              <w:rPr>
                <w:rFonts w:ascii="Arial" w:cs="Arial" w:eastAsia="Arial" w:hAnsi="Arial"/>
                <w:sz w:val="16"/>
                <w:szCs w:val="16"/>
                <w:color w:val="auto"/>
              </w:rPr>
              <w:t>No "Single Trigger" Severance or Vesting Change-in-Control</w:t>
            </w: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Our change in control severance plan, equity award agreements with</w:t>
            </w:r>
          </w:p>
        </w:tc>
      </w:tr>
      <w:tr>
        <w:trPr>
          <w:trHeight w:val="174"/>
        </w:trPr>
        <w:tc>
          <w:tcPr>
            <w:tcW w:w="5280" w:type="dxa"/>
            <w:vAlign w:val="bottom"/>
            <w:shd w:val="clear" w:color="auto" w:fill="D0DBEF"/>
          </w:tcPr>
          <w:p>
            <w:pPr>
              <w:spacing w:after="0" w:line="174" w:lineRule="exact"/>
              <w:rPr>
                <w:sz w:val="20"/>
                <w:szCs w:val="20"/>
                <w:color w:val="auto"/>
              </w:rPr>
            </w:pPr>
            <w:r>
              <w:rPr>
                <w:rFonts w:ascii="Arial" w:cs="Arial" w:eastAsia="Arial" w:hAnsi="Arial"/>
                <w:sz w:val="16"/>
                <w:szCs w:val="16"/>
                <w:color w:val="auto"/>
              </w:rPr>
              <w:t>Arrangements for Named Officers</w:t>
            </w:r>
          </w:p>
        </w:tc>
        <w:tc>
          <w:tcPr>
            <w:tcW w:w="6140" w:type="dxa"/>
            <w:vAlign w:val="bottom"/>
            <w:shd w:val="clear" w:color="auto" w:fill="D0DBEF"/>
          </w:tcPr>
          <w:p>
            <w:pPr>
              <w:ind w:left="900"/>
              <w:spacing w:after="0" w:line="174" w:lineRule="exact"/>
              <w:rPr>
                <w:sz w:val="20"/>
                <w:szCs w:val="20"/>
                <w:color w:val="auto"/>
              </w:rPr>
            </w:pPr>
            <w:r>
              <w:rPr>
                <w:rFonts w:ascii="Arial" w:cs="Arial" w:eastAsia="Arial" w:hAnsi="Arial"/>
                <w:sz w:val="16"/>
                <w:szCs w:val="16"/>
                <w:color w:val="auto"/>
              </w:rPr>
              <w:t>the Named Officers, and employment agreement with our Chief</w:t>
            </w:r>
          </w:p>
        </w:tc>
      </w:tr>
      <w:tr>
        <w:trPr>
          <w:trHeight w:val="206"/>
        </w:trPr>
        <w:tc>
          <w:tcPr>
            <w:tcW w:w="5280" w:type="dxa"/>
            <w:vAlign w:val="bottom"/>
            <w:shd w:val="clear" w:color="auto" w:fill="D0DBEF"/>
          </w:tcPr>
          <w:p>
            <w:pPr>
              <w:spacing w:after="0"/>
              <w:rPr>
                <w:sz w:val="17"/>
                <w:szCs w:val="17"/>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Executive Officer do not contain "single trigger" provisions (</w:t>
            </w:r>
            <w:r>
              <w:rPr>
                <w:rFonts w:ascii="Arial" w:cs="Arial" w:eastAsia="Arial" w:hAnsi="Arial"/>
                <w:sz w:val="16"/>
                <w:szCs w:val="16"/>
                <w:i w:val="1"/>
                <w:iCs w:val="1"/>
                <w:color w:val="auto"/>
              </w:rPr>
              <w:t>i.e.</w:t>
            </w:r>
            <w:r>
              <w:rPr>
                <w:rFonts w:ascii="Arial" w:cs="Arial" w:eastAsia="Arial" w:hAnsi="Arial"/>
                <w:sz w:val="16"/>
                <w:szCs w:val="16"/>
                <w:color w:val="auto"/>
              </w:rPr>
              <w:t>, do not</w:t>
            </w:r>
          </w:p>
        </w:tc>
      </w:tr>
      <w:tr>
        <w:trPr>
          <w:trHeight w:val="190"/>
        </w:trPr>
        <w:tc>
          <w:tcPr>
            <w:tcW w:w="5280" w:type="dxa"/>
            <w:vAlign w:val="bottom"/>
            <w:shd w:val="clear" w:color="auto" w:fill="D0DBEF"/>
          </w:tcPr>
          <w:p>
            <w:pPr>
              <w:spacing w:after="0"/>
              <w:rPr>
                <w:sz w:val="16"/>
                <w:szCs w:val="16"/>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provide for cash severance payments or accelerated vesting of equity</w:t>
            </w:r>
          </w:p>
        </w:tc>
      </w:tr>
      <w:tr>
        <w:trPr>
          <w:trHeight w:val="190"/>
        </w:trPr>
        <w:tc>
          <w:tcPr>
            <w:tcW w:w="5280" w:type="dxa"/>
            <w:vAlign w:val="bottom"/>
            <w:shd w:val="clear" w:color="auto" w:fill="D0DBEF"/>
          </w:tcPr>
          <w:p>
            <w:pPr>
              <w:spacing w:after="0"/>
              <w:rPr>
                <w:sz w:val="16"/>
                <w:szCs w:val="16"/>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awards solely on account of a change in control without a termination of</w:t>
            </w:r>
          </w:p>
        </w:tc>
      </w:tr>
      <w:tr>
        <w:trPr>
          <w:trHeight w:val="187"/>
        </w:trPr>
        <w:tc>
          <w:tcPr>
            <w:tcW w:w="5280" w:type="dxa"/>
            <w:vAlign w:val="bottom"/>
            <w:shd w:val="clear" w:color="auto" w:fill="D0DBEF"/>
          </w:tcPr>
          <w:p>
            <w:pPr>
              <w:spacing w:after="0"/>
              <w:rPr>
                <w:sz w:val="16"/>
                <w:szCs w:val="16"/>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employment).</w:t>
            </w:r>
          </w:p>
        </w:tc>
      </w:tr>
      <w:tr>
        <w:trPr>
          <w:trHeight w:val="421"/>
        </w:trPr>
        <w:tc>
          <w:tcPr>
            <w:tcW w:w="5280" w:type="dxa"/>
            <w:vAlign w:val="bottom"/>
            <w:shd w:val="clear" w:color="auto" w:fill="E6ECF8"/>
          </w:tcPr>
          <w:p>
            <w:pPr>
              <w:spacing w:after="0"/>
              <w:rPr>
                <w:sz w:val="20"/>
                <w:szCs w:val="20"/>
                <w:color w:val="auto"/>
              </w:rPr>
            </w:pPr>
            <w:r>
              <w:rPr>
                <w:rFonts w:ascii="Arial" w:cs="Arial" w:eastAsia="Arial" w:hAnsi="Arial"/>
                <w:sz w:val="16"/>
                <w:szCs w:val="16"/>
                <w:color w:val="auto"/>
              </w:rPr>
              <w:t>Policy Regarding Excise Tax Gross-Ups</w:t>
            </w: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We have a policy against including excise tax gross-up provisions with</w:t>
            </w:r>
          </w:p>
        </w:tc>
      </w:tr>
      <w:tr>
        <w:trPr>
          <w:trHeight w:val="190"/>
        </w:trPr>
        <w:tc>
          <w:tcPr>
            <w:tcW w:w="5280" w:type="dxa"/>
            <w:vAlign w:val="bottom"/>
            <w:shd w:val="clear" w:color="auto" w:fill="E6ECF8"/>
          </w:tcPr>
          <w:p>
            <w:pPr>
              <w:spacing w:after="0"/>
              <w:rPr>
                <w:sz w:val="16"/>
                <w:szCs w:val="16"/>
                <w:color w:val="auto"/>
              </w:rPr>
            </w:pP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respect to payments contingent upon a change in control of Regeneron</w:t>
            </w:r>
          </w:p>
        </w:tc>
      </w:tr>
      <w:tr>
        <w:trPr>
          <w:trHeight w:val="190"/>
        </w:trPr>
        <w:tc>
          <w:tcPr>
            <w:tcW w:w="5280" w:type="dxa"/>
            <w:vAlign w:val="bottom"/>
            <w:shd w:val="clear" w:color="auto" w:fill="E6ECF8"/>
          </w:tcPr>
          <w:p>
            <w:pPr>
              <w:spacing w:after="0"/>
              <w:rPr>
                <w:sz w:val="16"/>
                <w:szCs w:val="16"/>
                <w:color w:val="auto"/>
              </w:rPr>
            </w:pP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in contracts, compensatory plans, or other arrangements with the</w:t>
            </w:r>
          </w:p>
        </w:tc>
      </w:tr>
      <w:tr>
        <w:trPr>
          <w:trHeight w:val="190"/>
        </w:trPr>
        <w:tc>
          <w:tcPr>
            <w:tcW w:w="5280" w:type="dxa"/>
            <w:vAlign w:val="bottom"/>
            <w:shd w:val="clear" w:color="auto" w:fill="E6ECF8"/>
          </w:tcPr>
          <w:p>
            <w:pPr>
              <w:spacing w:after="0"/>
              <w:rPr>
                <w:sz w:val="16"/>
                <w:szCs w:val="16"/>
                <w:color w:val="auto"/>
              </w:rPr>
            </w:pP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Company's executive officers, including the Named Officers (other than</w:t>
            </w:r>
          </w:p>
        </w:tc>
      </w:tr>
      <w:tr>
        <w:trPr>
          <w:trHeight w:val="190"/>
        </w:trPr>
        <w:tc>
          <w:tcPr>
            <w:tcW w:w="5280" w:type="dxa"/>
            <w:vAlign w:val="bottom"/>
            <w:shd w:val="clear" w:color="auto" w:fill="E6ECF8"/>
          </w:tcPr>
          <w:p>
            <w:pPr>
              <w:spacing w:after="0"/>
              <w:rPr>
                <w:sz w:val="16"/>
                <w:szCs w:val="16"/>
                <w:color w:val="auto"/>
              </w:rPr>
            </w:pP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the existing employment agreement with our Chief Executive Officer or</w:t>
            </w:r>
          </w:p>
        </w:tc>
      </w:tr>
      <w:tr>
        <w:trPr>
          <w:trHeight w:val="187"/>
        </w:trPr>
        <w:tc>
          <w:tcPr>
            <w:tcW w:w="5280" w:type="dxa"/>
            <w:vAlign w:val="bottom"/>
            <w:shd w:val="clear" w:color="auto" w:fill="E6ECF8"/>
          </w:tcPr>
          <w:p>
            <w:pPr>
              <w:spacing w:after="0"/>
              <w:rPr>
                <w:sz w:val="16"/>
                <w:szCs w:val="16"/>
                <w:color w:val="auto"/>
              </w:rPr>
            </w:pP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any amendments thereto, which we expressly exempted).</w:t>
            </w:r>
          </w:p>
        </w:tc>
      </w:tr>
      <w:tr>
        <w:trPr>
          <w:trHeight w:val="193"/>
        </w:trPr>
        <w:tc>
          <w:tcPr>
            <w:tcW w:w="5280" w:type="dxa"/>
            <w:vAlign w:val="bottom"/>
            <w:shd w:val="clear" w:color="auto" w:fill="D0DBEF"/>
          </w:tcPr>
          <w:p>
            <w:pPr>
              <w:spacing w:after="0"/>
              <w:rPr>
                <w:sz w:val="20"/>
                <w:szCs w:val="20"/>
                <w:color w:val="auto"/>
              </w:rPr>
            </w:pPr>
            <w:r>
              <w:rPr>
                <w:rFonts w:ascii="Arial" w:cs="Arial" w:eastAsia="Arial" w:hAnsi="Arial"/>
                <w:sz w:val="16"/>
                <w:szCs w:val="16"/>
                <w:color w:val="auto"/>
              </w:rPr>
              <w:t>Limited Perquisites</w:t>
            </w: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The perquisites and other personal benefits afforded to our Named</w:t>
            </w:r>
          </w:p>
        </w:tc>
      </w:tr>
      <w:tr>
        <w:trPr>
          <w:trHeight w:val="190"/>
        </w:trPr>
        <w:tc>
          <w:tcPr>
            <w:tcW w:w="5280" w:type="dxa"/>
            <w:vAlign w:val="bottom"/>
            <w:shd w:val="clear" w:color="auto" w:fill="D0DBEF"/>
          </w:tcPr>
          <w:p>
            <w:pPr>
              <w:spacing w:after="0"/>
              <w:rPr>
                <w:sz w:val="16"/>
                <w:szCs w:val="16"/>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Officers are limited and are subject to periodic review by the</w:t>
            </w:r>
          </w:p>
        </w:tc>
      </w:tr>
      <w:tr>
        <w:trPr>
          <w:trHeight w:val="187"/>
        </w:trPr>
        <w:tc>
          <w:tcPr>
            <w:tcW w:w="5280" w:type="dxa"/>
            <w:vAlign w:val="bottom"/>
            <w:shd w:val="clear" w:color="auto" w:fill="D0DBEF"/>
          </w:tcPr>
          <w:p>
            <w:pPr>
              <w:spacing w:after="0"/>
              <w:rPr>
                <w:sz w:val="16"/>
                <w:szCs w:val="16"/>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Compensation Committee.</w:t>
            </w:r>
          </w:p>
        </w:tc>
      </w:tr>
      <w:tr>
        <w:trPr>
          <w:trHeight w:val="193"/>
        </w:trPr>
        <w:tc>
          <w:tcPr>
            <w:tcW w:w="5280" w:type="dxa"/>
            <w:vAlign w:val="bottom"/>
            <w:shd w:val="clear" w:color="auto" w:fill="E6ECF8"/>
          </w:tcPr>
          <w:p>
            <w:pPr>
              <w:spacing w:after="0"/>
              <w:rPr>
                <w:sz w:val="20"/>
                <w:szCs w:val="20"/>
                <w:color w:val="auto"/>
              </w:rPr>
            </w:pPr>
            <w:r>
              <w:rPr>
                <w:rFonts w:ascii="Arial" w:cs="Arial" w:eastAsia="Arial" w:hAnsi="Arial"/>
                <w:sz w:val="16"/>
                <w:szCs w:val="16"/>
                <w:color w:val="auto"/>
              </w:rPr>
              <w:t>Compensation Committee Oversight; Executive Sessions</w:t>
            </w: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Our Compensation Committee regularly meets in executive sessions</w:t>
            </w:r>
          </w:p>
        </w:tc>
      </w:tr>
      <w:tr>
        <w:trPr>
          <w:trHeight w:val="187"/>
        </w:trPr>
        <w:tc>
          <w:tcPr>
            <w:tcW w:w="5280" w:type="dxa"/>
            <w:vAlign w:val="bottom"/>
            <w:shd w:val="clear" w:color="auto" w:fill="E6ECF8"/>
          </w:tcPr>
          <w:p>
            <w:pPr>
              <w:spacing w:after="0"/>
              <w:rPr>
                <w:sz w:val="16"/>
                <w:szCs w:val="16"/>
                <w:color w:val="auto"/>
              </w:rPr>
            </w:pPr>
          </w:p>
        </w:tc>
        <w:tc>
          <w:tcPr>
            <w:tcW w:w="6140" w:type="dxa"/>
            <w:vAlign w:val="bottom"/>
            <w:shd w:val="clear" w:color="auto" w:fill="E6ECF8"/>
          </w:tcPr>
          <w:p>
            <w:pPr>
              <w:ind w:left="900"/>
              <w:spacing w:after="0"/>
              <w:rPr>
                <w:sz w:val="20"/>
                <w:szCs w:val="20"/>
                <w:color w:val="auto"/>
              </w:rPr>
            </w:pPr>
            <w:r>
              <w:rPr>
                <w:rFonts w:ascii="Arial" w:cs="Arial" w:eastAsia="Arial" w:hAnsi="Arial"/>
                <w:sz w:val="16"/>
                <w:szCs w:val="16"/>
                <w:color w:val="auto"/>
              </w:rPr>
              <w:t>without members of management present.</w:t>
            </w:r>
          </w:p>
        </w:tc>
      </w:tr>
      <w:tr>
        <w:trPr>
          <w:trHeight w:val="193"/>
        </w:trPr>
        <w:tc>
          <w:tcPr>
            <w:tcW w:w="5280" w:type="dxa"/>
            <w:vAlign w:val="bottom"/>
            <w:shd w:val="clear" w:color="auto" w:fill="D0DBEF"/>
          </w:tcPr>
          <w:p>
            <w:pPr>
              <w:spacing w:after="0"/>
              <w:rPr>
                <w:sz w:val="20"/>
                <w:szCs w:val="20"/>
                <w:color w:val="auto"/>
              </w:rPr>
            </w:pPr>
            <w:r>
              <w:rPr>
                <w:rFonts w:ascii="Arial" w:cs="Arial" w:eastAsia="Arial" w:hAnsi="Arial"/>
                <w:sz w:val="16"/>
                <w:szCs w:val="16"/>
                <w:color w:val="auto"/>
              </w:rPr>
              <w:t>Risk Management</w:t>
            </w: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Our Compensation Committee regularly reviews our compensation</w:t>
            </w:r>
          </w:p>
        </w:tc>
      </w:tr>
      <w:tr>
        <w:trPr>
          <w:trHeight w:val="190"/>
        </w:trPr>
        <w:tc>
          <w:tcPr>
            <w:tcW w:w="5280" w:type="dxa"/>
            <w:vAlign w:val="bottom"/>
            <w:shd w:val="clear" w:color="auto" w:fill="D0DBEF"/>
          </w:tcPr>
          <w:p>
            <w:pPr>
              <w:spacing w:after="0"/>
              <w:rPr>
                <w:sz w:val="16"/>
                <w:szCs w:val="16"/>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strategy and practices, including an annual review of our compensation-</w:t>
            </w:r>
          </w:p>
        </w:tc>
      </w:tr>
      <w:tr>
        <w:trPr>
          <w:trHeight w:val="190"/>
        </w:trPr>
        <w:tc>
          <w:tcPr>
            <w:tcW w:w="5280" w:type="dxa"/>
            <w:vAlign w:val="bottom"/>
            <w:shd w:val="clear" w:color="auto" w:fill="D0DBEF"/>
          </w:tcPr>
          <w:p>
            <w:pPr>
              <w:spacing w:after="0"/>
              <w:rPr>
                <w:sz w:val="16"/>
                <w:szCs w:val="16"/>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related risk profile, to ensure that our compensation-related risks are not</w:t>
            </w:r>
          </w:p>
        </w:tc>
      </w:tr>
      <w:tr>
        <w:trPr>
          <w:trHeight w:val="187"/>
        </w:trPr>
        <w:tc>
          <w:tcPr>
            <w:tcW w:w="5280" w:type="dxa"/>
            <w:vAlign w:val="bottom"/>
            <w:shd w:val="clear" w:color="auto" w:fill="D0DBEF"/>
          </w:tcPr>
          <w:p>
            <w:pPr>
              <w:spacing w:after="0"/>
              <w:rPr>
                <w:sz w:val="16"/>
                <w:szCs w:val="16"/>
                <w:color w:val="auto"/>
              </w:rPr>
            </w:pPr>
          </w:p>
        </w:tc>
        <w:tc>
          <w:tcPr>
            <w:tcW w:w="6140" w:type="dxa"/>
            <w:vAlign w:val="bottom"/>
            <w:shd w:val="clear" w:color="auto" w:fill="D0DBEF"/>
          </w:tcPr>
          <w:p>
            <w:pPr>
              <w:ind w:left="900"/>
              <w:spacing w:after="0"/>
              <w:rPr>
                <w:sz w:val="20"/>
                <w:szCs w:val="20"/>
                <w:color w:val="auto"/>
              </w:rPr>
            </w:pPr>
            <w:r>
              <w:rPr>
                <w:rFonts w:ascii="Arial" w:cs="Arial" w:eastAsia="Arial" w:hAnsi="Arial"/>
                <w:sz w:val="16"/>
                <w:szCs w:val="16"/>
                <w:color w:val="auto"/>
              </w:rPr>
              <w:t>reasonably likely to have a material adverse effect on the Company.</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Section 2 – Analysis of 2015 Executive Compensation Based on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Pay for Performance</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in rewarding performance and establishing a strong link between compensation and both individual and corporate performance at all levels of the Company. We also believe that accountability and total compensation potential should generally increase with position and responsibility and that the proportion of the performance-based component of compensation should increase with position and responsibility. Consistent with this view, individuals with greater responsibility and ability to influence our achievement of corporate goals and strategic initiatives generally are targeted with higher levels of cash compensation, but have a higher proportion of their total cash compensation represented by cash bonus, the amount of which is based on individual and/or corporate performance and is, therefore, at risk. Similarly, equity-based compensation is higher for persons with higher levels of responsibility, making a significant portion of their total compensation dependent on long-term stock appreciation and, therefore, long-term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42620" cy="1930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372745</wp:posOffset>
            </wp:positionV>
            <wp:extent cx="8255" cy="1930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pay-for-performance philosophy was strongly reflected in the mix of compensation elements, or "pay mix," of our Named Officers in 2015. The following charts display the mix of 2015 compensation (fixed vs. performance-based and long-term vs. short-term) of our Chief Executive Officer and our other Named Officers (excluding our Chief Executive Officer) and the mix of compensation elements of the companies included in the 2015 Radford Global Life Sciences Survey. As shown in these charts, 97% and 96% of the total direct 2015 compensation of our Chief Executive Officer and our other Named Officers, respectively, consisted of performance-based compensation, which exceeds the average percentage of performance-based compensation paid by the companies included in the 2015 Radford Global Life Sciences Survey by 7% and 14%, respectively. Accordingly, based on these metrics, our 2015 executive compensation program was more heavily weighted toward "at risk," performance-based components.</w:t>
      </w:r>
    </w:p>
    <w:p>
      <w:pPr>
        <w:spacing w:after="0" w:line="592"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296" w:lineRule="exact"/>
        <w:rPr>
          <w:sz w:val="20"/>
          <w:szCs w:val="20"/>
          <w:color w:val="auto"/>
        </w:rPr>
      </w:pPr>
    </w:p>
    <w:p>
      <w:pPr>
        <w:ind w:left="1160" w:hanging="744"/>
        <w:spacing w:after="0"/>
        <w:tabs>
          <w:tab w:leader="none" w:pos="1160" w:val="left"/>
        </w:tabs>
        <w:numPr>
          <w:ilvl w:val="0"/>
          <w:numId w:val="70"/>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2460"/>
        <w:spacing w:after="0"/>
        <w:tabs>
          <w:tab w:leader="none" w:pos="6780" w:val="left"/>
        </w:tabs>
        <w:rPr>
          <w:sz w:val="20"/>
          <w:szCs w:val="20"/>
          <w:color w:val="auto"/>
        </w:rPr>
      </w:pPr>
      <w:r>
        <w:rPr>
          <w:rFonts w:ascii="Arial" w:cs="Arial" w:eastAsia="Arial" w:hAnsi="Arial"/>
          <w:sz w:val="16"/>
          <w:szCs w:val="16"/>
          <w:b w:val="1"/>
          <w:bCs w:val="1"/>
          <w:color w:val="auto"/>
        </w:rPr>
        <w:t>Regeneron CEO Pay Mix</w:t>
      </w:r>
      <w:r>
        <w:rPr>
          <w:sz w:val="20"/>
          <w:szCs w:val="20"/>
          <w:color w:val="auto"/>
        </w:rPr>
        <w:tab/>
      </w:r>
      <w:r>
        <w:rPr>
          <w:rFonts w:ascii="Arial" w:cs="Arial" w:eastAsia="Arial" w:hAnsi="Arial"/>
          <w:sz w:val="16"/>
          <w:szCs w:val="16"/>
          <w:b w:val="1"/>
          <w:bCs w:val="1"/>
          <w:color w:val="auto"/>
        </w:rPr>
        <w:t>Regeneron Other NEO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279400</wp:posOffset>
            </wp:positionV>
            <wp:extent cx="5093970" cy="2434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9397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20"/>
        <w:spacing w:after="0"/>
        <w:tabs>
          <w:tab w:leader="none" w:pos="6940" w:val="left"/>
        </w:tabs>
        <w:rPr>
          <w:sz w:val="20"/>
          <w:szCs w:val="20"/>
          <w:color w:val="auto"/>
        </w:rPr>
      </w:pPr>
      <w:r>
        <w:rPr>
          <w:rFonts w:ascii="Arial" w:cs="Arial" w:eastAsia="Arial" w:hAnsi="Arial"/>
          <w:sz w:val="16"/>
          <w:szCs w:val="16"/>
          <w:b w:val="1"/>
          <w:bCs w:val="1"/>
          <w:color w:val="auto"/>
        </w:rPr>
        <w:t>Survey CEO Pay Mix</w:t>
      </w:r>
      <w:r>
        <w:rPr>
          <w:sz w:val="20"/>
          <w:szCs w:val="20"/>
          <w:color w:val="auto"/>
        </w:rPr>
        <w:tab/>
      </w:r>
      <w:r>
        <w:rPr>
          <w:rFonts w:ascii="Arial" w:cs="Arial" w:eastAsia="Arial" w:hAnsi="Arial"/>
          <w:sz w:val="16"/>
          <w:szCs w:val="16"/>
          <w:b w:val="1"/>
          <w:bCs w:val="1"/>
          <w:color w:val="auto"/>
        </w:rPr>
        <w:t>Survey Other NEO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303530</wp:posOffset>
            </wp:positionV>
            <wp:extent cx="5093970" cy="2434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9397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Based on 2015 compensation information reported in the Summary Compensation Table on page 61 for Regeneron and on the 2015 Radford Global Life Sciences Survey (comprising U.S. public biotechnology and pharmaceutical companies that have between 800 and 15,000 employees). "Equity" (shown as part of the inner circle in the charts above) reflects the grant date fair value of equity awards; and "STIP" (shown as part of the inner circle in the charts above) consists of bonus and/or other applicable compensation provided under short-term, non-equity incentive plans. "Long-term" compensation (shown as part of the middle circle in the charts above) consists of equity; and "short-term" compensation (shown as part of the middle circle in the charts above) consists of base salary and bonus/STIP. "Performance-based" compensation (shown as part of the outer circle in the charts above) consists of bonus/STIP and equity. Total compensation amounts reflect total direct compensation (total reported compensation, other than amounts reported under "All other compensation").</w:t>
      </w:r>
    </w:p>
    <w:p>
      <w:pPr>
        <w:sectPr>
          <w:pgSz w:w="11900" w:h="16838" w:orient="portrait"/>
          <w:cols w:equalWidth="0" w:num="1">
            <w:col w:w="11420"/>
          </w:cols>
          <w:pgMar w:left="240" w:top="142" w:right="239" w:bottom="1440" w:gutter="0" w:footer="0" w:header="0"/>
        </w:sectPr>
      </w:pPr>
    </w:p>
    <w:p>
      <w:pPr>
        <w:spacing w:after="0" w:line="3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shown in the charts above, the Compensation Committee manages the pay mix such that a substantial portion of pay is dedicated to "at risk," performance-based compensation, with that portion to comprise a significantly greater percentage of total direct compensation as compared to the average of the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companies included in the 2015 Radford Global Sciences Survey. The Compensation Committee believes that this mix of pay best aligns the interests of our Named Officers with those of our shareholders over time.</w:t>
      </w:r>
    </w:p>
    <w:p>
      <w:pPr>
        <w:spacing w:after="0" w:line="575"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Shareholder Alignment</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that the compensation realized by our leadership team, including the Named Officers, should show a strong relation to the value realized by our shareholders. This principle is reflected both in the pay mix referenced above and in our focus on stock options, as the value realized by the holder of a stock option, if any, is dependent upon, and directly proportionate to, appreciation in the price of our common stock. Since our inception, we have consistently structured our executive compensation based on our belief that stock options naturally align executives with the creation of future shareholder value. We also believe that stock options have been fundamental to our ability to attract, motivate, and retain top talent whose contributions and leadership have driven the Company's achievement of corporate and strategic goals and resulted in a substantial enhancement of shareholder value. Over the one-, three-, and five-year periods ended December 31, 2015, our stock price increased 32%, 217%, and 1554%, respectively. This shareholder</w:t>
      </w:r>
    </w:p>
    <w:p>
      <w:pPr>
        <w:spacing w:after="0" w:line="6" w:lineRule="exact"/>
        <w:rPr>
          <w:sz w:val="20"/>
          <w:szCs w:val="20"/>
          <w:color w:val="auto"/>
        </w:rPr>
      </w:pPr>
    </w:p>
    <w:p>
      <w:pPr>
        <w:jc w:val="both"/>
        <w:ind w:right="20"/>
        <w:spacing w:after="0" w:line="348" w:lineRule="auto"/>
        <w:rPr>
          <w:sz w:val="20"/>
          <w:szCs w:val="20"/>
          <w:color w:val="auto"/>
        </w:rPr>
      </w:pPr>
      <w:r>
        <w:rPr>
          <w:rFonts w:ascii="Arial" w:cs="Arial" w:eastAsia="Arial" w:hAnsi="Arial"/>
          <w:sz w:val="16"/>
          <w:szCs w:val="16"/>
          <w:color w:val="auto"/>
        </w:rPr>
        <w:t>return places our common stock performance in the 85</w:t>
      </w:r>
      <w:r>
        <w:rPr>
          <w:rFonts w:ascii="Arial" w:cs="Arial" w:eastAsia="Arial" w:hAnsi="Arial"/>
          <w:sz w:val="27"/>
          <w:szCs w:val="27"/>
          <w:color w:val="auto"/>
          <w:vertAlign w:val="superscript"/>
        </w:rPr>
        <w:t>th</w:t>
      </w:r>
      <w:r>
        <w:rPr>
          <w:rFonts w:ascii="Arial" w:cs="Arial" w:eastAsia="Arial" w:hAnsi="Arial"/>
          <w:sz w:val="16"/>
          <w:szCs w:val="16"/>
          <w:color w:val="auto"/>
        </w:rPr>
        <w:t>, 90</w:t>
      </w:r>
      <w:r>
        <w:rPr>
          <w:rFonts w:ascii="Arial" w:cs="Arial" w:eastAsia="Arial" w:hAnsi="Arial"/>
          <w:sz w:val="27"/>
          <w:szCs w:val="27"/>
          <w:color w:val="auto"/>
          <w:vertAlign w:val="superscript"/>
        </w:rPr>
        <w:t>th</w:t>
      </w:r>
      <w:r>
        <w:rPr>
          <w:rFonts w:ascii="Arial" w:cs="Arial" w:eastAsia="Arial" w:hAnsi="Arial"/>
          <w:sz w:val="16"/>
          <w:szCs w:val="16"/>
          <w:color w:val="auto"/>
        </w:rPr>
        <w:t>, and 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respectively, of all NASDAQ-listed companies with a market capitalization greater than $5 billion in those periods. Our use of stock options ensures alignment of the interests of our executives, including the Named Officers, with those of Company shareholders, as our executives not only benefit from our successes, and the resulting appreciation of our stock, but are also impacted by decreases in our stock price.</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chart compares our TSR over the last five years with the compensation of our Chief Executive Officer over the same period. We do not focus primarily on total direct compensation as a key metric, as it is derived in part from the reported grant date fair value of stock option awards as determined according to the Black-Scholes model. As further discussed below, in assessing stock option awards, we primarily consider the number of shares underlying the awards relative to the number of basic shares of common stock outstanding in order to evaluate such awards on a consistent basis as compared to other companies and regardless of fluctuations in the price of Regeneron's or other companies' common stock.</w:t>
      </w:r>
    </w:p>
    <w:p>
      <w:pPr>
        <w:spacing w:after="0" w:line="829"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jc w:val="center"/>
        <w:spacing w:after="0"/>
        <w:rPr>
          <w:sz w:val="20"/>
          <w:szCs w:val="20"/>
          <w:color w:val="auto"/>
        </w:rPr>
      </w:pPr>
      <w:r>
        <w:rPr>
          <w:rFonts w:ascii="Arial" w:cs="Arial" w:eastAsia="Arial" w:hAnsi="Arial"/>
          <w:sz w:val="16"/>
          <w:szCs w:val="16"/>
          <w:b w:val="1"/>
          <w:bCs w:val="1"/>
          <w:color w:val="auto"/>
        </w:rPr>
        <w:t>5-Year CEO Total Direct Compensation vs.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142875</wp:posOffset>
            </wp:positionV>
            <wp:extent cx="5287010" cy="3615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87010" cy="361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color w:val="auto"/>
        </w:rPr>
        <w:t>"CEO</w:t>
        <w:tab/>
        <w:t>total direct compensation" means total reported compensation (other than amounts reported under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642620" cy="1930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127000</wp:posOffset>
            </wp:positionV>
            <wp:extent cx="8255" cy="1930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89" w:lineRule="exact"/>
        <w:rPr>
          <w:sz w:val="20"/>
          <w:szCs w:val="20"/>
          <w:color w:val="auto"/>
        </w:rPr>
      </w:pPr>
    </w:p>
    <w:p>
      <w:pPr>
        <w:ind w:left="1160" w:hanging="744"/>
        <w:spacing w:after="0"/>
        <w:tabs>
          <w:tab w:leader="none" w:pos="1160" w:val="left"/>
        </w:tabs>
        <w:numPr>
          <w:ilvl w:val="0"/>
          <w:numId w:val="7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shown in the table above, compensation awarded to our Chief Executive Officer over the last five years closely tracked our TSR over the same period, and percentage increases in such compensation were considerably smaller than our TSR over the same period (533% increase in total direct compensation compared to 1554% TSR). The overwhelming portion of the increase in our Chief Executive Officer's total direct compensation over this period is directly attributable to the value of the non-cash components of his compensation package, primarily stock option awards valued according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Black-Scholes model. Consistent with our objective to align the interests of our executives with the interests of our shareholders, as the price of our common stock appreciated over the last five years, the value of stock option awards, the most significant component of the compensation of our Chief Executive Officer (as well as the other Named Officers), increased as well.</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on a year-over-year basis, percentage increases in our Chief Executive Officer's total direct compensation in the last five years were significantly below the year-over-year appreciation of our stock price, as shown in the chart below.</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Year-Over-Year Increase in CEO Total Direct Compensation vs.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142875</wp:posOffset>
            </wp:positionV>
            <wp:extent cx="5423535" cy="21209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23535" cy="212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"CEO total direct compensation" means total reported compensation (other than amounts reported under "All other compensation").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43</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table below further demonstrates alignment of Regeneron's performance (as determined by its market capitalization) and our Chief Executive Officer's total direct compensation in the last five years. Over this period, our Chief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Executive Officer's total direct compensation, as a percentage of Regeneron's capitalization in the year in which the compensation was awarded, decreased from 0.20% to 0.08%.</w:t>
      </w:r>
    </w:p>
    <w:p>
      <w:pPr>
        <w:spacing w:after="0" w:line="389"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CEO Total Direct Compensation as Percentage of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142875</wp:posOffset>
            </wp:positionV>
            <wp:extent cx="5495925" cy="26511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95925" cy="265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"CEO total direct compensation" means total reported compensation (other than amounts reported under "All other compensation"); and market capitalization is determined based on the number of shares of common stock and Class A stock outstanding as of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642620" cy="1930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110490</wp:posOffset>
            </wp:positionV>
            <wp:extent cx="8255" cy="1930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63" w:lineRule="exact"/>
        <w:rPr>
          <w:sz w:val="20"/>
          <w:szCs w:val="20"/>
          <w:color w:val="auto"/>
        </w:rPr>
      </w:pPr>
    </w:p>
    <w:p>
      <w:pPr>
        <w:ind w:left="1160" w:hanging="744"/>
        <w:spacing w:after="0"/>
        <w:tabs>
          <w:tab w:leader="none" w:pos="1160" w:val="left"/>
        </w:tabs>
        <w:numPr>
          <w:ilvl w:val="0"/>
          <w:numId w:val="7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further believe that the compensation awarded to our Chief Executive Officer in recent years showed a strong connection to our TSR performance over the same period both on an absolute basis and relative</w:t>
      </w:r>
    </w:p>
    <w:p>
      <w:pPr>
        <w:spacing w:after="0" w:line="1" w:lineRule="exact"/>
        <w:rPr>
          <w:sz w:val="20"/>
          <w:szCs w:val="20"/>
          <w:color w:val="auto"/>
        </w:rPr>
      </w:pPr>
    </w:p>
    <w:p>
      <w:pPr>
        <w:jc w:val="both"/>
        <w:ind w:right="20"/>
        <w:spacing w:after="0" w:line="206" w:lineRule="auto"/>
        <w:rPr>
          <w:sz w:val="20"/>
          <w:szCs w:val="20"/>
          <w:color w:val="auto"/>
        </w:rPr>
      </w:pPr>
      <w:r>
        <w:rPr>
          <w:rFonts w:ascii="Arial" w:cs="Arial" w:eastAsia="Arial" w:hAnsi="Arial"/>
          <w:sz w:val="16"/>
          <w:szCs w:val="16"/>
          <w:color w:val="auto"/>
        </w:rPr>
        <w:t>to the companies in our Peer Group. In addition to being the 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best performing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company in our Peer Group over the three-year period (as shown in the chart below), we were the 3</w:t>
      </w:r>
      <w:r>
        <w:rPr>
          <w:rFonts w:ascii="Arial" w:cs="Arial" w:eastAsia="Arial" w:hAnsi="Arial"/>
          <w:sz w:val="27"/>
          <w:szCs w:val="27"/>
          <w:color w:val="auto"/>
          <w:vertAlign w:val="superscript"/>
        </w:rPr>
        <w:t>rd</w:t>
      </w:r>
      <w:r>
        <w:rPr>
          <w:rFonts w:ascii="Arial" w:cs="Arial" w:eastAsia="Arial" w:hAnsi="Arial"/>
          <w:sz w:val="16"/>
          <w:szCs w:val="16"/>
          <w:color w:val="auto"/>
        </w:rPr>
        <w:t xml:space="preserve"> best and the top performing company in our Peer Group over the one- and five-year periods (in each case as measured by TSR).</w:t>
      </w:r>
    </w:p>
    <w:p>
      <w:pPr>
        <w:spacing w:after="0" w:line="391"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CEO Reported Pay Percentile versus TSR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142875</wp:posOffset>
            </wp:positionV>
            <wp:extent cx="5254625" cy="2723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54625" cy="272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00"/>
        <w:spacing w:after="0" w:line="254" w:lineRule="auto"/>
        <w:rPr>
          <w:sz w:val="20"/>
          <w:szCs w:val="20"/>
          <w:color w:val="auto"/>
        </w:rPr>
      </w:pPr>
      <w:r>
        <w:rPr>
          <w:rFonts w:ascii="Arial" w:cs="Arial" w:eastAsia="Arial" w:hAnsi="Arial"/>
          <w:sz w:val="13"/>
          <w:szCs w:val="13"/>
          <w:color w:val="auto"/>
        </w:rPr>
        <w:t>Compensation information reflects total direct compensation (</w:t>
      </w:r>
      <w:r>
        <w:rPr>
          <w:rFonts w:ascii="Arial" w:cs="Arial" w:eastAsia="Arial" w:hAnsi="Arial"/>
          <w:sz w:val="13"/>
          <w:szCs w:val="13"/>
          <w:i w:val="1"/>
          <w:iCs w:val="1"/>
          <w:color w:val="auto"/>
        </w:rPr>
        <w:t>i.e.</w:t>
      </w:r>
      <w:r>
        <w:rPr>
          <w:rFonts w:ascii="Arial" w:cs="Arial" w:eastAsia="Arial" w:hAnsi="Arial"/>
          <w:sz w:val="13"/>
          <w:szCs w:val="13"/>
          <w:color w:val="auto"/>
        </w:rPr>
        <w:t>, total reported compensation, other than amounts reported under "Change in pension value and nonqualified deferred compensation earnings" and "All other compensation") and is based on the 2013 - 2015 compensation information reported in the Summary Compensation Table included in this proxy statement for Regeneron and on the data for the most recently completed three-year periods available as of December 31, 2015 for the companies included in the Peer Group. TSR information is based on 2013 - 2015 TSR for Regeneron and the Peer Group. The shaded area between the two diagonal lines indicates an alignment of pay and performance. See "Section 3 – Executive Compensation Process and Considerations – Peer Group" for more information regarding our Peer Group.</w:t>
      </w:r>
    </w:p>
    <w:p>
      <w:pPr>
        <w:sectPr>
          <w:pgSz w:w="11900" w:h="16838" w:orient="portrait"/>
          <w:cols w:equalWidth="0" w:num="1">
            <w:col w:w="11420"/>
          </w:cols>
          <w:pgMar w:left="240" w:top="142" w:right="239" w:bottom="1440"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Balance between Short- and Long-Term Perspectives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compensation program has been designed to strike a balance between short- and long-term compensation in light of the Company's available resources; its growth trajectory; its goal of offering compensation packages that are competitive with those of companies in the Peer Group and the broader biopharmaceutical industry; and its objective to</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retain and motivate high-performing employees and closely align their interests with the interests of shareholders. We utilize base salary and annual cash bonuses to compensate our executives over the short term by providing a base level of income and rewarding performance on an annual basis, and we utilize stock options to foster a long-term perspective and reward long-term performance.</w:t>
      </w:r>
    </w:p>
    <w:p>
      <w:pPr>
        <w:spacing w:after="0" w:line="592"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Borders>
              <w:right w:val="single" w:sz="8" w:color="183394"/>
            </w:tcBorders>
          </w:tcPr>
          <w:p>
            <w:pPr>
              <w:spacing w:after="0"/>
              <w:rPr>
                <w:sz w:val="21"/>
                <w:szCs w:val="21"/>
                <w:color w:val="auto"/>
              </w:rPr>
            </w:pPr>
          </w:p>
        </w:tc>
        <w:tc>
          <w:tcPr>
            <w:tcW w:w="2640" w:type="dxa"/>
            <w:vAlign w:val="bottom"/>
            <w:vMerge w:val="restart"/>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45</w:t>
            </w:r>
          </w:p>
        </w:tc>
        <w:tc>
          <w:tcPr>
            <w:tcW w:w="0" w:type="dxa"/>
            <w:vAlign w:val="bottom"/>
          </w:tcPr>
          <w:p>
            <w:pPr>
              <w:spacing w:after="0"/>
              <w:rPr>
                <w:sz w:val="1"/>
                <w:szCs w:val="1"/>
                <w:color w:val="auto"/>
              </w:rPr>
            </w:pPr>
          </w:p>
        </w:tc>
      </w:tr>
      <w:tr>
        <w:trPr>
          <w:trHeight w:val="66"/>
        </w:trPr>
        <w:tc>
          <w:tcPr>
            <w:tcW w:w="7780" w:type="dxa"/>
            <w:vAlign w:val="bottom"/>
            <w:tcBorders>
              <w:right w:val="single" w:sz="8" w:color="183394"/>
            </w:tcBorders>
          </w:tcPr>
          <w:p>
            <w:pPr>
              <w:spacing w:after="0"/>
              <w:rPr>
                <w:sz w:val="5"/>
                <w:szCs w:val="5"/>
                <w:color w:val="auto"/>
              </w:rPr>
            </w:pPr>
          </w:p>
        </w:tc>
        <w:tc>
          <w:tcPr>
            <w:tcW w:w="2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255510" cy="4973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5510" cy="4973320"/>
                    </a:xfrm>
                    <a:prstGeom prst="rect">
                      <a:avLst/>
                    </a:prstGeom>
                    <a:noFill/>
                  </pic:spPr>
                </pic:pic>
              </a:graphicData>
            </a:graphic>
          </wp:anchor>
        </w:drawing>
      </w:r>
    </w:p>
    <w:p>
      <w:pPr>
        <w:sectPr>
          <w:pgSz w:w="11900" w:h="16838" w:orient="portrait"/>
          <w:cols w:equalWidth="0" w:num="1">
            <w:col w:w="11060"/>
          </w:cols>
          <w:pgMar w:left="240" w:top="14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Why stock options?</w:t>
      </w:r>
    </w:p>
    <w:p>
      <w:pPr>
        <w:spacing w:after="0" w:line="17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Time-based stock options represent the foundation of our compensation philosophy and an integral part of our executive compensation program. Since our inception, we have consistently structured our executive compensation based on our belief that stock options naturally align executives with the creation of future shareholder value and are the best vehicle to retain and foster the entrepreneurial aspects of our culture. The core group of our senior management (Drs. Schleifer, Yancopoulos, and Stahl) has been with Regeneron for over 20 years and has been instrumental in driving shareholder value over this period. We discussed our use of time-based stock options as a critical component of our compensation program as part of our 2015 shareholder outreach (discussed in greater detail below) and were again encouraged by the fact that a number of our key shareholders were supportive of time-based stock options and viewed them as an excellent compensation tool for a high-performing, growth-oriented company.</w:t>
      </w:r>
    </w:p>
    <w:p>
      <w:pPr>
        <w:spacing w:after="0" w:line="387"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In 2015, as in other recent years, we relied on time-based stock options as the primary vehicle for offering long-term incentives to our employees, including the Named Officers, and for linking compensation and performance. However, we reduced the number of shares underlying the annual stock option awards to the Named Officers by 15% compared to 2014 (other than Mr. Terifay's award, which remained at the 2014 level due to his promotion to Executive Vice President, Commercial). This reduction constituted the third consecutive double-digit percentage decrease in such annual grant.</w:t>
      </w:r>
    </w:p>
    <w:p>
      <w:pPr>
        <w:spacing w:after="0" w:line="19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We believe that time-based stock options are inherently performance-based, offer an excellent compensation mechanism for getting our management team to act in ways that ensure the long-term success of Regeneron, and are appropriate and advantageous for the following additional reasons:</w:t>
      </w:r>
    </w:p>
    <w:p>
      <w:pPr>
        <w:spacing w:after="0" w:line="177" w:lineRule="exact"/>
        <w:rPr>
          <w:sz w:val="20"/>
          <w:szCs w:val="20"/>
          <w:color w:val="auto"/>
        </w:rPr>
      </w:pPr>
    </w:p>
    <w:p>
      <w:pPr>
        <w:jc w:val="both"/>
        <w:ind w:left="500" w:hanging="157"/>
        <w:spacing w:after="0" w:line="251" w:lineRule="auto"/>
        <w:tabs>
          <w:tab w:leader="none" w:pos="500" w:val="left"/>
        </w:tabs>
        <w:numPr>
          <w:ilvl w:val="0"/>
          <w:numId w:val="73"/>
        </w:numPr>
        <w:rPr>
          <w:rFonts w:ascii="Arial" w:cs="Arial" w:eastAsia="Arial" w:hAnsi="Arial"/>
          <w:sz w:val="16"/>
          <w:szCs w:val="16"/>
          <w:color w:val="5668B0"/>
        </w:rPr>
      </w:pPr>
      <w:r>
        <w:rPr>
          <w:rFonts w:ascii="Arial" w:cs="Arial" w:eastAsia="Arial" w:hAnsi="Arial"/>
          <w:sz w:val="16"/>
          <w:szCs w:val="16"/>
          <w:color w:val="auto"/>
        </w:rPr>
        <w:t>The executive only realizes value from stock options if the price of the Company's common stock increases and the executive continues to serve through the vesting period. The value is solely tied to an increase in the Company's stock price, aligning the interests of executives with those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51" w:hanging="151"/>
        <w:spacing w:after="0" w:line="250" w:lineRule="auto"/>
        <w:tabs>
          <w:tab w:leader="none" w:pos="151" w:val="left"/>
        </w:tabs>
        <w:numPr>
          <w:ilvl w:val="0"/>
          <w:numId w:val="74"/>
        </w:numPr>
        <w:rPr>
          <w:rFonts w:ascii="Arial" w:cs="Arial" w:eastAsia="Arial" w:hAnsi="Arial"/>
          <w:sz w:val="16"/>
          <w:szCs w:val="16"/>
          <w:color w:val="5668B0"/>
        </w:rPr>
      </w:pPr>
      <w:r>
        <w:rPr>
          <w:rFonts w:ascii="Arial" w:cs="Arial" w:eastAsia="Arial" w:hAnsi="Arial"/>
          <w:sz w:val="16"/>
          <w:szCs w:val="16"/>
          <w:color w:val="auto"/>
        </w:rPr>
        <w:t>The executive has the opportunity to realize value if the price of the Company's common stock continues to increase over the remainder of the ten-year term of the option. Time-based options, therefore, promote the long view and motivate and reward the executive for Company performance not only over the four-year vesting term, but also the ten-year option term.</w:t>
      </w:r>
    </w:p>
    <w:p>
      <w:pPr>
        <w:spacing w:after="0" w:line="178" w:lineRule="exact"/>
        <w:rPr>
          <w:rFonts w:ascii="Arial" w:cs="Arial" w:eastAsia="Arial" w:hAnsi="Arial"/>
          <w:sz w:val="16"/>
          <w:szCs w:val="16"/>
          <w:color w:val="5668B0"/>
        </w:rPr>
      </w:pPr>
    </w:p>
    <w:p>
      <w:pPr>
        <w:jc w:val="both"/>
        <w:ind w:left="151" w:hanging="151"/>
        <w:spacing w:after="0" w:line="251" w:lineRule="auto"/>
        <w:tabs>
          <w:tab w:leader="none" w:pos="151" w:val="left"/>
        </w:tabs>
        <w:numPr>
          <w:ilvl w:val="0"/>
          <w:numId w:val="74"/>
        </w:numPr>
        <w:rPr>
          <w:rFonts w:ascii="Arial" w:cs="Arial" w:eastAsia="Arial" w:hAnsi="Arial"/>
          <w:sz w:val="16"/>
          <w:szCs w:val="16"/>
          <w:color w:val="5668B0"/>
        </w:rPr>
      </w:pPr>
      <w:r>
        <w:rPr>
          <w:rFonts w:ascii="Arial" w:cs="Arial" w:eastAsia="Arial" w:hAnsi="Arial"/>
          <w:sz w:val="16"/>
          <w:szCs w:val="16"/>
          <w:color w:val="auto"/>
        </w:rPr>
        <w:t>Compared to full-value awards, stock options provide for greater leverage and, therefore, alignment of employee incentives with those of our shareholders. They also amplify downside risk, as they do not provide any value to the holder if the stock price declines below the exercise price (determined as of the date of grant).</w:t>
      </w:r>
    </w:p>
    <w:p>
      <w:pPr>
        <w:spacing w:after="0" w:line="176" w:lineRule="exact"/>
        <w:rPr>
          <w:rFonts w:ascii="Arial" w:cs="Arial" w:eastAsia="Arial" w:hAnsi="Arial"/>
          <w:sz w:val="16"/>
          <w:szCs w:val="16"/>
          <w:color w:val="5668B0"/>
        </w:rPr>
      </w:pPr>
    </w:p>
    <w:p>
      <w:pPr>
        <w:ind w:left="151" w:hanging="151"/>
        <w:spacing w:after="0" w:line="264" w:lineRule="auto"/>
        <w:tabs>
          <w:tab w:leader="none" w:pos="151" w:val="left"/>
        </w:tabs>
        <w:numPr>
          <w:ilvl w:val="0"/>
          <w:numId w:val="74"/>
        </w:numPr>
        <w:rPr>
          <w:rFonts w:ascii="Arial" w:cs="Arial" w:eastAsia="Arial" w:hAnsi="Arial"/>
          <w:sz w:val="16"/>
          <w:szCs w:val="16"/>
          <w:color w:val="5668B0"/>
        </w:rPr>
      </w:pPr>
      <w:r>
        <w:rPr>
          <w:rFonts w:ascii="Arial" w:cs="Arial" w:eastAsia="Arial" w:hAnsi="Arial"/>
          <w:sz w:val="16"/>
          <w:szCs w:val="16"/>
          <w:color w:val="auto"/>
        </w:rPr>
        <w:t>Stock options have played an important role in our success and have helped us to conserve the Company's cash.</w:t>
      </w:r>
    </w:p>
    <w:p>
      <w:pPr>
        <w:spacing w:after="0" w:line="164" w:lineRule="exact"/>
        <w:rPr>
          <w:rFonts w:ascii="Arial" w:cs="Arial" w:eastAsia="Arial" w:hAnsi="Arial"/>
          <w:sz w:val="16"/>
          <w:szCs w:val="16"/>
          <w:color w:val="5668B0"/>
        </w:rPr>
      </w:pPr>
    </w:p>
    <w:p>
      <w:pPr>
        <w:jc w:val="both"/>
        <w:ind w:left="151" w:hanging="151"/>
        <w:spacing w:after="0" w:line="253" w:lineRule="auto"/>
        <w:tabs>
          <w:tab w:leader="none" w:pos="151" w:val="left"/>
        </w:tabs>
        <w:numPr>
          <w:ilvl w:val="0"/>
          <w:numId w:val="74"/>
        </w:numPr>
        <w:rPr>
          <w:rFonts w:ascii="Arial" w:cs="Arial" w:eastAsia="Arial" w:hAnsi="Arial"/>
          <w:sz w:val="16"/>
          <w:szCs w:val="16"/>
          <w:color w:val="5668B0"/>
        </w:rPr>
      </w:pPr>
      <w:r>
        <w:rPr>
          <w:rFonts w:ascii="Arial" w:cs="Arial" w:eastAsia="Arial" w:hAnsi="Arial"/>
          <w:sz w:val="16"/>
          <w:szCs w:val="16"/>
          <w:color w:val="auto"/>
        </w:rPr>
        <w:t>Stock options are highly valued by employees, particularly in our industry. They have helped us attract and retain entrepreneurial employees and foster an ownership culture, which we believe has been part of the Company's formula for success.</w:t>
      </w:r>
    </w:p>
    <w:p>
      <w:pPr>
        <w:spacing w:after="0" w:line="173" w:lineRule="exact"/>
        <w:rPr>
          <w:rFonts w:ascii="Arial" w:cs="Arial" w:eastAsia="Arial" w:hAnsi="Arial"/>
          <w:sz w:val="16"/>
          <w:szCs w:val="16"/>
          <w:color w:val="5668B0"/>
        </w:rPr>
      </w:pPr>
    </w:p>
    <w:p>
      <w:pPr>
        <w:jc w:val="both"/>
        <w:ind w:left="151" w:hanging="151"/>
        <w:spacing w:after="0" w:line="253" w:lineRule="auto"/>
        <w:tabs>
          <w:tab w:leader="none" w:pos="151" w:val="left"/>
        </w:tabs>
        <w:numPr>
          <w:ilvl w:val="0"/>
          <w:numId w:val="74"/>
        </w:numPr>
        <w:rPr>
          <w:rFonts w:ascii="Arial" w:cs="Arial" w:eastAsia="Arial" w:hAnsi="Arial"/>
          <w:sz w:val="16"/>
          <w:szCs w:val="16"/>
          <w:color w:val="5668B0"/>
        </w:rPr>
      </w:pPr>
      <w:r>
        <w:rPr>
          <w:rFonts w:ascii="Arial" w:cs="Arial" w:eastAsia="Arial" w:hAnsi="Arial"/>
          <w:sz w:val="16"/>
          <w:szCs w:val="16"/>
          <w:color w:val="auto"/>
        </w:rPr>
        <w:t>Time-based stock options are understood by employees and are straightforward to administer. We also believe that they are less likely to cause employees to pursue attainment of a particular performance metric at the expense of value creation for our shareholders generally.</w:t>
      </w:r>
    </w:p>
    <w:p>
      <w:pPr>
        <w:spacing w:after="0" w:line="173" w:lineRule="exact"/>
        <w:rPr>
          <w:rFonts w:ascii="Arial" w:cs="Arial" w:eastAsia="Arial" w:hAnsi="Arial"/>
          <w:sz w:val="16"/>
          <w:szCs w:val="16"/>
          <w:color w:val="5668B0"/>
        </w:rPr>
      </w:pPr>
    </w:p>
    <w:p>
      <w:pPr>
        <w:jc w:val="both"/>
        <w:ind w:left="151" w:hanging="151"/>
        <w:spacing w:after="0" w:line="252" w:lineRule="auto"/>
        <w:tabs>
          <w:tab w:leader="none" w:pos="151" w:val="left"/>
        </w:tabs>
        <w:numPr>
          <w:ilvl w:val="0"/>
          <w:numId w:val="74"/>
        </w:numPr>
        <w:rPr>
          <w:rFonts w:ascii="Arial" w:cs="Arial" w:eastAsia="Arial" w:hAnsi="Arial"/>
          <w:sz w:val="16"/>
          <w:szCs w:val="16"/>
          <w:color w:val="5668B0"/>
        </w:rPr>
      </w:pPr>
      <w:r>
        <w:rPr>
          <w:rFonts w:ascii="Arial" w:cs="Arial" w:eastAsia="Arial" w:hAnsi="Arial"/>
          <w:sz w:val="16"/>
          <w:szCs w:val="16"/>
          <w:color w:val="auto"/>
        </w:rPr>
        <w:t>Stock options generally qualify as performance-based compensation for purposes of the deduction limit of Section 162(m) of the Internal Revenue Code, and all amounts realized by our Named Officers upon exercise of their stock options are expected to be fully deductible by us.</w:t>
      </w:r>
    </w:p>
    <w:p>
      <w:pPr>
        <w:spacing w:after="0" w:line="1755" w:lineRule="exact"/>
        <w:rPr>
          <w:sz w:val="20"/>
          <w:szCs w:val="20"/>
          <w:color w:val="auto"/>
        </w:rPr>
      </w:pPr>
    </w:p>
    <w:p>
      <w:pPr>
        <w:sectPr>
          <w:pgSz w:w="11900" w:h="16838" w:orient="portrait"/>
          <w:cols w:equalWidth="0" w:num="2">
            <w:col w:w="5600" w:space="209"/>
            <w:col w:w="5251"/>
          </w:cols>
          <w:pgMar w:left="240" w:top="142" w:right="599" w:bottom="1440" w:gutter="0" w:footer="0" w:header="0"/>
          <w:type w:val="continuous"/>
        </w:sectPr>
      </w:pPr>
    </w:p>
    <w:p>
      <w:pPr>
        <w:spacing w:after="0" w:line="98" w:lineRule="exact"/>
        <w:rPr>
          <w:sz w:val="20"/>
          <w:szCs w:val="20"/>
          <w:color w:val="auto"/>
        </w:rPr>
      </w:pPr>
    </w:p>
    <w:p>
      <w:pPr>
        <w:ind w:left="1160" w:hanging="744"/>
        <w:spacing w:after="0"/>
        <w:tabs>
          <w:tab w:leader="none" w:pos="1160" w:val="left"/>
        </w:tabs>
        <w:numPr>
          <w:ilvl w:val="0"/>
          <w:numId w:val="7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060"/>
          </w:cols>
          <w:pgMar w:left="240" w:top="142" w:right="59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As shown in the charts under "– Pay for Performance" above, 91% of the total direct compensation of our Chief Executive Officer and our other Named Officers in 2015 consisted of long-term compensation, which exceeds the corresponding average percentage for the companies included in the 2015 Radford Global Life Sciences Survey by 18% and 24%, respectively. Based on these metrics, our compensation structure is more heavily weighted toward long-term components versus short-term pay, thus promoting a long-term perspective among our executives.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Despite the reductions in the annual grant of stock options to our Named Officers described above, the grant date fair value (as determined according to the Black-Scholes model for valuing stock options) of the stock options granted in 2015 is higher than the Black-Scholes grant date fair value of the larger number of stock options granted to Named Officers in prior years. This increase in the Black-Scholes value of annual stock option awards (and the corresponding increase in the value of total compensation for the Named Officers in 2015) is attributable largely to the higher market value of our common stock on December 16, 2015, the date of these option grants, compared to prior years. On December 16, 2015, the average of the high and low sales price per share of our common stock as quoted on the NASDAQ Global Select Market (used for calculating the grant date fair value) was $555.67, as compared to $399.66 on December 31, 2014 and $270.43 on December 13, 2013, the respective 2014 and 2013 grant dates.</w:t>
      </w:r>
    </w:p>
    <w:p>
      <w:pPr>
        <w:spacing w:after="0" w:line="3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line with the goal of maintaining year-over-year consistency in making compensation decisions (regardless of stock price fluctuations), the Compensation Committee believes that the grant date fair value of the option award (as determined according to the Black-Scholes model for valuing stock options) is not the most appropriate measure for evaluating the grant. Rather, the Compensation Committee focuses more on the percentage of Regeneron's potential future share price appreciation that is shared by means of the award with the executive, expressed as the number of shares underlying the option award relative to the number of outstanding shares.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following chart shows the decrease in the 2012 - 2015 annual stock option awards to our Chief Executive Officer both based on the number of shares underlying the awards and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a  percentage  of  the  applicable  number  of  outstanding  shares  of</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Regeneron common and Class A stock:</w:t>
      </w:r>
    </w:p>
    <w:p>
      <w:pPr>
        <w:spacing w:after="0" w:line="378"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5668B0"/>
        </w:rPr>
        <w:t>CEO Annual Stock Option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142875</wp:posOffset>
            </wp:positionV>
            <wp:extent cx="2635250" cy="2072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3525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Share percentages are based on 96.6 million, 99.4 million, 101.7 million, and 104.1 million of shares (in each case consisting of common stock and Class A stock) outstanding as of October 12, 2012, October 28, 2013, October 16, 2014, and October 16, 2015, respectively, as reported in Regeneron's Quarterly Report on Form 10-Q for the third quarter of the applicable year.</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recent years, we have experienced significant growth in employees to support our research &amp; development and commercialization efforts. From 2012 to 2015, we increased our employee base by approximately 121%. While the number of recipients of stock awards continued to increase given our practice of making initial stock option awards to all new employees and annual stock option awards to eligible employees whose performance is determined to merit an annual grant, we managed our utilization of stock awards judiciously, reducing our burn rate from the 2012 level and achieving a three-year burn rate average of 4.1% in 2015, in line with our current burn rate goal of 4%. We achieved this reduction through implementing three consecutive double-digit percentage decreases in the number of shares underlying annual stock option awards, without eliminating the broad-based nature of our equity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372745</wp:posOffset>
            </wp:positionV>
            <wp:extent cx="8255" cy="1930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2360" w:type="dxa"/>
        <w:tblCellMar>
          <w:top w:w="0" w:type="dxa"/>
          <w:left w:w="0" w:type="dxa"/>
          <w:bottom w:w="0" w:type="dxa"/>
          <w:right w:w="0" w:type="dxa"/>
        </w:tblCellMar>
      </w:tblPr>
      <w:tr>
        <w:trPr>
          <w:trHeight w:val="304"/>
        </w:trPr>
        <w:tc>
          <w:tcPr>
            <w:tcW w:w="2000" w:type="dxa"/>
            <w:vAlign w:val="bottom"/>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3"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668B0"/>
        </w:rPr>
        <w:t>Regeneron Stock Utilization vs.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142875</wp:posOffset>
            </wp:positionV>
            <wp:extent cx="5495925" cy="17354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95925"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Burn rate calculated by dividing the number of shares subject to equity awards (time-based and performance-based stock options and restricted stock) granted during the year by the weighted-average number of shares of common stock (including unvested restricted stock) and Class A stock outstanding during the year. A multiplier of 2 is applied to restricted stock awards. Headcount numbers based on the number of employees as of December 31 of the applicable year.</w:t>
      </w:r>
    </w:p>
    <w:p>
      <w:pPr>
        <w:sectPr>
          <w:pgSz w:w="11900" w:h="16838" w:orient="portrait"/>
          <w:cols w:equalWidth="0" w:num="1">
            <w:col w:w="11420"/>
          </w:cols>
          <w:pgMar w:left="240" w:top="142" w:right="239" w:bottom="1440" w:gutter="0" w:footer="0" w:header="0"/>
        </w:sectPr>
      </w:pPr>
    </w:p>
    <w:p>
      <w:pPr>
        <w:spacing w:after="0" w:line="3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in the last three years when we implemented the stock option award reductions described above, we managed either to decrease our burn rate or to keep the percentage increase in our burn rate significantly below the percentage increase in the number of our employees. The 2015 increase in our burn rate compared to the prior year is wholly attributable to the rapid hiring of new key employees (as evidenced by a 47% increase in the number of employees over the same period), not increased sharing with our Named Officers (whose stock options grants declined).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668B0"/>
        </w:rPr>
        <w:t>Regeneron Year-over-Year Change in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668B0"/>
        </w:rPr>
        <w:t>Burn Rate and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130175</wp:posOffset>
            </wp:positionV>
            <wp:extent cx="2626995" cy="23863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26995" cy="2386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Market Competitiveness and Employee Retention</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determining the appropriate size of stock option awards to executives, including the Named Officers, the Compensation Committee primarily considers the number of shares underlying the awards relative to the number of basic shares of common stock outstanding and not the grant date fair value of the award (as determined according to the Black-Scholes model). The Compensation Committee is therefore able to evaluate such grants on a consistent basis as compared to other companies and regardless of fluctuations in the price of Regeneron's or other companies' common stock. Further, focusing on the number of shares and the incremental sharing rate of potential future upside (rather than targeting a specific Black-Scholes grant date fair value) avoids rewarding officers with larger grant sizes following a decline in our stock price. The following chart displays the 2015 annual stock option award to our Chief Executive Officer as a percentage of the total basic shares</w:t>
      </w:r>
    </w:p>
    <w:p>
      <w:pPr>
        <w:spacing w:after="0" w:line="6" w:lineRule="exact"/>
        <w:rPr>
          <w:sz w:val="20"/>
          <w:szCs w:val="20"/>
          <w:color w:val="auto"/>
        </w:rPr>
      </w:pPr>
    </w:p>
    <w:p>
      <w:pPr>
        <w:jc w:val="both"/>
        <w:spacing w:after="0" w:line="202" w:lineRule="auto"/>
        <w:rPr>
          <w:sz w:val="20"/>
          <w:szCs w:val="20"/>
          <w:color w:val="auto"/>
        </w:rPr>
      </w:pPr>
      <w:r>
        <w:rPr>
          <w:rFonts w:ascii="Arial" w:cs="Arial" w:eastAsia="Arial" w:hAnsi="Arial"/>
          <w:sz w:val="16"/>
          <w:szCs w:val="16"/>
          <w:color w:val="auto"/>
        </w:rPr>
        <w:t>outstanding, as compared to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and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companies included in the 2015 Radford Global Life Sciences Survey, showing that the size of his 2015 annual award was significantly below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and only slightly above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It also</w:t>
      </w:r>
    </w:p>
    <w:p>
      <w:pPr>
        <w:spacing w:after="0" w:line="3"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shows that this award was below the 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our Biotech R&amp;D Peers.</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7180"/>
        <w:spacing w:after="0"/>
        <w:rPr>
          <w:sz w:val="20"/>
          <w:szCs w:val="20"/>
          <w:color w:val="auto"/>
        </w:rPr>
      </w:pPr>
      <w:r>
        <w:rPr>
          <w:rFonts w:ascii="Arial" w:cs="Arial" w:eastAsia="Arial" w:hAnsi="Arial"/>
          <w:sz w:val="13"/>
          <w:szCs w:val="13"/>
          <w:color w:val="auto"/>
        </w:rPr>
        <w:t>Burn rate and headcount calculated as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642620" cy="1930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255905</wp:posOffset>
            </wp:positionV>
            <wp:extent cx="8255" cy="1930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2" w:lineRule="exact"/>
        <w:rPr>
          <w:sz w:val="20"/>
          <w:szCs w:val="20"/>
          <w:color w:val="auto"/>
        </w:rPr>
      </w:pPr>
    </w:p>
    <w:p>
      <w:pPr>
        <w:ind w:left="1160" w:hanging="744"/>
        <w:spacing w:after="0"/>
        <w:tabs>
          <w:tab w:leader="none" w:pos="1160" w:val="left"/>
        </w:tabs>
        <w:numPr>
          <w:ilvl w:val="0"/>
          <w:numId w:val="7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668B0"/>
        </w:rPr>
        <w:t>CEO Grant as Percentage of Basic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142875</wp:posOffset>
            </wp:positionV>
            <wp:extent cx="2394585" cy="923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94585"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500"/>
        <w:spacing w:after="0" w:line="245" w:lineRule="auto"/>
        <w:rPr>
          <w:sz w:val="20"/>
          <w:szCs w:val="20"/>
          <w:color w:val="auto"/>
        </w:rPr>
      </w:pPr>
      <w:r>
        <w:rPr>
          <w:rFonts w:ascii="Arial" w:cs="Arial" w:eastAsia="Arial" w:hAnsi="Arial"/>
          <w:sz w:val="13"/>
          <w:szCs w:val="13"/>
          <w:color w:val="auto"/>
        </w:rPr>
        <w:t>Based on 2015 stock option award information reported in the Summary Compensation Table included in this proxy statement for Regeneron; data relating to grants of equity awards from the 2015 Radford Global Life Sciences Survey (comprising U.S. public biotechnology and pharmaceutical companies that have between 800 and 15,000 employees); and 2014 information available for Regeneron's Biotech R&amp;D Peers (as defined in "Section 3 – Executive Compensation Process and Considerations – Peer Group"). The share information is based on 104.1 million shares (consisting of common stock and Class A stock) of Regeneron outstanding as of October 16, 2015 (as reported in Regeneron's Quarterly Report on Form 10-Q for the quarterly period ended September 30, 2015) and on the number of shares outstanding reported in the 2015 Radford Global Life Sciences Survey for each of the companies included in the survey.</w:t>
      </w:r>
    </w:p>
    <w:p>
      <w:pPr>
        <w:spacing w:after="0" w:line="344"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We believe that the structure of our executive compensation program encourages innovation, attracts talent with entrepreneurial spirit, increases employee engagement, and improves employee retention and the continuity of executive leadership during a critical period of growth. We regard our stock option grants as a key employee and executive retention tool. As stock option awards to our employees vest over time, generally over four years, they provide an incentive for the employee to continue to contribute to our success. Historically,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stock options have helped us maintain a motivational level of total compensation for our Named Officers and other eligible employees, while conserving the Company's cash. We believe that this has helped us to successfully grow and manage employee attrition, as evidenced by our 2015 employee turnover of approximately 6%, which compares favorably to the average employee turnover of approximately 18% for the life sciences sector based on the Fourth Quarter 2015 Radford Global Life Sciences Trends Report. In addition, stock options have allowed us to attract and retain entrepreneurial employees and foster an ownership culture. Moreover, granting stock options as long-term incentives to executives is standard practice in our industry and is an important part of our effort to attract, retain, and motivate high-quality talent.</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light of these considerations, we continued our practice of annual stock option grants in 2015, although we again (for the third consecutive year) reduced the number of shares underlying the annual stock option awards to the Named Officers as described above to reduce the potential dilutive impact of executive awards without adversely affecting the effectiveness of our executive compensation program, which has successfully motivated our senior management team to deliver high operating performance and shareholder value. In light of the fierce competition for talent in our industry, we believe that it is important to continue to motivate our existing employees, including the Named Officers, through stock option awards and to ensure that they share in the success of Regeneron.</w:t>
      </w:r>
    </w:p>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provide our Named Officers with a limited number of perquisites and other personal benefits. These benefits, which are described in greater detail under "Section 4 – Elements of Executive Compensation – Perquisites and Other Personal Benefits" below, are periodically reviewed by the Compensation Committee.</w:t>
      </w:r>
    </w:p>
    <w:p>
      <w:pPr>
        <w:spacing w:after="0" w:line="258"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Section 3 – Executive Compensation Process and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Overview</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Compensation Committee is responsible for overseeing the Company's general compensation objectives and programs. The Compensation Committee evaluates the performance of our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i w:val="1"/>
          <w:iCs w:val="1"/>
          <w:color w:val="auto"/>
        </w:rPr>
        <w:t xml:space="preserve">www.regeneron.com </w:t>
      </w:r>
      <w:r>
        <w:rPr>
          <w:rFonts w:ascii="Arial" w:cs="Arial" w:eastAsia="Arial" w:hAnsi="Arial"/>
          <w:sz w:val="16"/>
          <w:szCs w:val="16"/>
          <w:color w:val="auto"/>
        </w:rPr>
        <w:t>under the "Corporate Governance" heading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&amp; Media"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Members of our senior management play a significant role in the overall executive compensation process and assess performance of other officers. They also recommend, for Compensation Committee approval, salary, bonus, and stock option grant budgets for non-officers and make specific recommendations for salary increases, bonuses, and equity award grants for other officers. For our Named Officers (other than our Chief Executive Officer), recommendations to the Compensation Committee regarding their compensation are made by, or with the approval of, our Chief Executive Officer, who also evaluates their performance. Our Chief Executive Officer's performance is evaluated directly by the Compensation Committee based on our overall corporate performance</w:t>
      </w:r>
    </w:p>
    <w:p>
      <w:pPr>
        <w:spacing w:after="0" w:line="401"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Borders>
              <w:right w:val="single" w:sz="8" w:color="183394"/>
            </w:tcBorders>
          </w:tcPr>
          <w:p>
            <w:pPr>
              <w:spacing w:after="0"/>
              <w:rPr>
                <w:sz w:val="21"/>
                <w:szCs w:val="21"/>
                <w:color w:val="auto"/>
              </w:rPr>
            </w:pPr>
          </w:p>
        </w:tc>
        <w:tc>
          <w:tcPr>
            <w:tcW w:w="2640" w:type="dxa"/>
            <w:vAlign w:val="bottom"/>
            <w:vMerge w:val="restart"/>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49</w:t>
            </w:r>
          </w:p>
        </w:tc>
        <w:tc>
          <w:tcPr>
            <w:tcW w:w="0" w:type="dxa"/>
            <w:vAlign w:val="bottom"/>
          </w:tcPr>
          <w:p>
            <w:pPr>
              <w:spacing w:after="0"/>
              <w:rPr>
                <w:sz w:val="1"/>
                <w:szCs w:val="1"/>
                <w:color w:val="auto"/>
              </w:rPr>
            </w:pPr>
          </w:p>
        </w:tc>
      </w:tr>
      <w:tr>
        <w:trPr>
          <w:trHeight w:val="66"/>
        </w:trPr>
        <w:tc>
          <w:tcPr>
            <w:tcW w:w="7780" w:type="dxa"/>
            <w:vAlign w:val="bottom"/>
            <w:tcBorders>
              <w:right w:val="single" w:sz="8" w:color="183394"/>
            </w:tcBorders>
          </w:tcPr>
          <w:p>
            <w:pPr>
              <w:spacing w:after="0"/>
              <w:rPr>
                <w:sz w:val="5"/>
                <w:szCs w:val="5"/>
                <w:color w:val="auto"/>
              </w:rPr>
            </w:pPr>
          </w:p>
        </w:tc>
        <w:tc>
          <w:tcPr>
            <w:tcW w:w="2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4859"/>
        <w:spacing w:after="0" w:line="264" w:lineRule="auto"/>
        <w:rPr>
          <w:sz w:val="20"/>
          <w:szCs w:val="20"/>
          <w:color w:val="auto"/>
        </w:rPr>
      </w:pPr>
      <w:r>
        <w:rPr>
          <w:rFonts w:ascii="Arial" w:cs="Arial" w:eastAsia="Arial" w:hAnsi="Arial"/>
          <w:sz w:val="16"/>
          <w:szCs w:val="16"/>
          <w:color w:val="auto"/>
        </w:rPr>
        <w:t>against annual goals that are approved by the board of directors at the beginning of each year, as discussed in more detail below.</w:t>
      </w:r>
    </w:p>
    <w:p>
      <w:pPr>
        <w:spacing w:after="0" w:line="177" w:lineRule="exact"/>
        <w:rPr>
          <w:sz w:val="20"/>
          <w:szCs w:val="20"/>
          <w:color w:val="auto"/>
        </w:rPr>
      </w:pPr>
    </w:p>
    <w:p>
      <w:pPr>
        <w:jc w:val="both"/>
        <w:ind w:right="4839"/>
        <w:spacing w:after="0" w:line="248" w:lineRule="auto"/>
        <w:rPr>
          <w:sz w:val="20"/>
          <w:szCs w:val="20"/>
          <w:color w:val="auto"/>
        </w:rPr>
      </w:pPr>
      <w:r>
        <w:rPr>
          <w:rFonts w:ascii="Arial" w:cs="Arial" w:eastAsia="Arial" w:hAnsi="Arial"/>
          <w:sz w:val="16"/>
          <w:szCs w:val="16"/>
          <w:color w:val="auto"/>
        </w:rPr>
        <w:t>The Compensation Committee has the sole authority to retain, at our expense, one or more third-party compensation consultants to assist the Compensation Committee in performing its responsibilities and to terminate the services of the consultant if the Compensation Committee deems it appropriate. In 2015, the Compensation Committee utilized the services of Frederic W. Cook &amp; Co. to assist it in fulfilling its responsibilities. In order to maintain its independence, Frederic W. Cook &amp; Co. was retained directly by the Compensation Committee and performed projects at the Compensation Committee's direction. The Compensation Committee's consultant reviews management recommendations on compensation plans, budgets, and strategies and advises the Compensation Committee on regulations and trends in executive compensation nationally and specifically in the pharmaceutical and biopharmaceutical industries. The Compensation Committee's consultant provides comparative compensation information for our Chief Executive Officer and other senior executives (using the Peer Group and other compensation data as described below), reviews senior management's compensation recommendations for other officers, including the other Named Officers, and provides general advice to the Compensation Committee on compensation matters, including facilitating the articulation and periodic review of the Company's compensation philosophy.</w:t>
      </w:r>
    </w:p>
    <w:p>
      <w:pPr>
        <w:spacing w:after="0" w:line="385" w:lineRule="exact"/>
        <w:rPr>
          <w:sz w:val="20"/>
          <w:szCs w:val="20"/>
          <w:color w:val="auto"/>
        </w:rPr>
      </w:pPr>
    </w:p>
    <w:p>
      <w:pPr>
        <w:jc w:val="both"/>
        <w:ind w:right="4839"/>
        <w:spacing w:after="0" w:line="248" w:lineRule="auto"/>
        <w:rPr>
          <w:sz w:val="20"/>
          <w:szCs w:val="20"/>
          <w:color w:val="auto"/>
        </w:rPr>
      </w:pPr>
      <w:r>
        <w:rPr>
          <w:rFonts w:ascii="Arial" w:cs="Arial" w:eastAsia="Arial" w:hAnsi="Arial"/>
          <w:sz w:val="16"/>
          <w:szCs w:val="16"/>
          <w:color w:val="auto"/>
        </w:rPr>
        <w:t>Annual salaries for the following year and year-end bonuses and stock option awards or other year-end equity awards for all employees are determined in December of each year based on Company and individual performance, as well as other factors, including compensation trends among our Peer Group and in the biotechnology industry in general. The 2015 salaries and 2014 year-end bonuses and stock option awards for our Named Officers were established by the Compensation Committee in December 2014. In November and December 2015, the Compensation Committee reviewed the performance of each of the Named Officers and presented its recommendations for 2016 salaries and 2015 year-end bonuses and equity awards for the Named Officers to the non-employee members of the board of directors for concurrence. With respect to our Chief Executive Officer, this process is formalized in the charter of the Compensation Committee, which specifies that the Compensation Committee is to annually present the proposed annual compensation of the Chief Executive Officer to the non-employee members of the board of directors for approval.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Peer Group</w:t>
      </w:r>
    </w:p>
    <w:p>
      <w:pPr>
        <w:spacing w:after="0" w:line="228" w:lineRule="exact"/>
        <w:rPr>
          <w:sz w:val="20"/>
          <w:szCs w:val="20"/>
          <w:color w:val="auto"/>
        </w:rPr>
      </w:pPr>
    </w:p>
    <w:p>
      <w:pPr>
        <w:jc w:val="both"/>
        <w:ind w:right="4839"/>
        <w:spacing w:after="0" w:line="247" w:lineRule="auto"/>
        <w:rPr>
          <w:sz w:val="20"/>
          <w:szCs w:val="20"/>
          <w:color w:val="auto"/>
        </w:rPr>
      </w:pPr>
      <w:r>
        <w:rPr>
          <w:rFonts w:ascii="Arial" w:cs="Arial" w:eastAsia="Arial" w:hAnsi="Arial"/>
          <w:sz w:val="16"/>
          <w:szCs w:val="16"/>
          <w:color w:val="auto"/>
        </w:rPr>
        <w:t>For purposes of setting compensation of our Chief Executive Officer, our Chief Scientific Officer, the other Named Officers, and other senior executives, we use comparative compensation information from a relevant peer group of companies ("Peer Group"). The companies in the Peer Group are selected by the Compensation Committee, with the assistance of Frederic W. Cook &amp; Co., based on factors including, but not limited to, market capitalization, geographic location, number of employees, therapeutic focus, research and development expenditures, stage of development, total revenues, and product sales. The Company's trailing revenue size, number of employees, operating earnings, and market capitalization are all nearly in the middle of the range of the current Peer Group companies. The Peer Group is also meant to provide a representative sample of companies with which we compete for talent. The Compensation Committee periodically reassesses the composition of the companies within the Peer Group and makes changes as appropriate, taking into account factors such as changes in the Company's market capitalization and merger-and-acquisition activity impacting the existing Peer Group companies. In September 2015, the Compensation Committee approved a new Peer Group based on the recommendation of its compensation consultant, Frederic W. Cook &amp; Co.. The changes to the Peer Group were as follows: (i) elimination of Cubist Pharmaceuticals, Inc. in light of the fact that it had been acquired by Merck &amp; Co., Inc.; (ii) elimination of Seattle Genetics, Inc. due to its market capitalization being significantly below Regeneron's; and</w:t>
      </w:r>
    </w:p>
    <w:p>
      <w:pPr>
        <w:spacing w:after="0" w:line="11" w:lineRule="exact"/>
        <w:rPr>
          <w:sz w:val="20"/>
          <w:szCs w:val="20"/>
          <w:color w:val="auto"/>
        </w:rPr>
      </w:pPr>
    </w:p>
    <w:p>
      <w:pPr>
        <w:jc w:val="both"/>
        <w:ind w:right="4859" w:firstLine="1"/>
        <w:spacing w:after="0" w:line="249" w:lineRule="auto"/>
        <w:tabs>
          <w:tab w:leader="none" w:pos="28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addition of Alkermes plc and Alnylam Pharmaceuticals, Inc., both of which are biopharmaceutical companies with a business model the Compensation Committee considered similar to Regeneron's. In approving the new Peer Group, the Compensation Committee also took into account that, as of the approval date, Regeneron was the median company in the Peer Group based on market capitalization, revenues for the last four completed quarters, and the then-available reported number of employees,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642620" cy="1930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249555</wp:posOffset>
            </wp:positionV>
            <wp:extent cx="8255" cy="1930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302" w:lineRule="exact"/>
        <w:rPr>
          <w:sz w:val="20"/>
          <w:szCs w:val="20"/>
          <w:color w:val="auto"/>
        </w:rPr>
      </w:pPr>
    </w:p>
    <w:p>
      <w:pPr>
        <w:ind w:left="1160" w:hanging="744"/>
        <w:spacing w:after="0"/>
        <w:tabs>
          <w:tab w:leader="none" w:pos="1160" w:val="left"/>
        </w:tabs>
        <w:numPr>
          <w:ilvl w:val="0"/>
          <w:numId w:val="78"/>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type w:val="continuous"/>
        </w:sectPr>
      </w:pPr>
    </w:p>
    <w:bookmarkStart w:id="64" w:name="page65"/>
    <w:bookmarkEnd w:id="64"/>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3920" w:type="dxa"/>
            <w:vAlign w:val="bottom"/>
            <w:gridSpan w:val="4"/>
            <w:shd w:val="clear" w:color="auto" w:fill="5668B0"/>
          </w:tcPr>
          <w:p>
            <w:pPr>
              <w:ind w:left="1360"/>
              <w:spacing w:after="0"/>
              <w:rPr>
                <w:sz w:val="20"/>
                <w:szCs w:val="20"/>
                <w:color w:val="auto"/>
              </w:rPr>
            </w:pPr>
            <w:r>
              <w:rPr>
                <w:rFonts w:ascii="Arial" w:cs="Arial" w:eastAsia="Arial" w:hAnsi="Arial"/>
                <w:sz w:val="13"/>
                <w:szCs w:val="13"/>
                <w:color w:val="FFFFFE"/>
              </w:rPr>
              <w:t>Market Capitalization (in millions)</w:t>
            </w:r>
          </w:p>
        </w:tc>
        <w:tc>
          <w:tcPr>
            <w:tcW w:w="260" w:type="dxa"/>
            <w:vAlign w:val="bottom"/>
            <w:shd w:val="clear" w:color="auto" w:fill="5668B0"/>
          </w:tcPr>
          <w:p>
            <w:pPr>
              <w:spacing w:after="0"/>
              <w:rPr>
                <w:sz w:val="13"/>
                <w:szCs w:val="13"/>
                <w:color w:val="auto"/>
              </w:rPr>
            </w:pPr>
          </w:p>
        </w:tc>
        <w:tc>
          <w:tcPr>
            <w:tcW w:w="680" w:type="dxa"/>
            <w:vAlign w:val="bottom"/>
            <w:shd w:val="clear" w:color="auto" w:fill="5668B0"/>
          </w:tcPr>
          <w:p>
            <w:pPr>
              <w:spacing w:after="0"/>
              <w:rPr>
                <w:sz w:val="13"/>
                <w:szCs w:val="13"/>
                <w:color w:val="auto"/>
              </w:rPr>
            </w:pPr>
          </w:p>
        </w:tc>
        <w:tc>
          <w:tcPr>
            <w:tcW w:w="2160" w:type="dxa"/>
            <w:vAlign w:val="bottom"/>
            <w:gridSpan w:val="3"/>
            <w:shd w:val="clear" w:color="auto" w:fill="5668B0"/>
          </w:tcPr>
          <w:p>
            <w:pPr>
              <w:jc w:val="right"/>
              <w:ind w:right="13"/>
              <w:spacing w:after="0"/>
              <w:rPr>
                <w:sz w:val="20"/>
                <w:szCs w:val="20"/>
                <w:color w:val="auto"/>
              </w:rPr>
            </w:pPr>
            <w:r>
              <w:rPr>
                <w:rFonts w:ascii="Arial" w:cs="Arial" w:eastAsia="Arial" w:hAnsi="Arial"/>
                <w:sz w:val="13"/>
                <w:szCs w:val="13"/>
                <w:color w:val="FFFFFE"/>
              </w:rPr>
              <w:t>Last Four Quarter</w:t>
            </w:r>
          </w:p>
        </w:tc>
        <w:tc>
          <w:tcPr>
            <w:tcW w:w="1320" w:type="dxa"/>
            <w:vAlign w:val="bottom"/>
            <w:shd w:val="clear" w:color="auto" w:fill="5668B0"/>
          </w:tcPr>
          <w:p>
            <w:pPr>
              <w:spacing w:after="0"/>
              <w:rPr>
                <w:sz w:val="13"/>
                <w:szCs w:val="13"/>
                <w:color w:val="auto"/>
              </w:rPr>
            </w:pPr>
          </w:p>
        </w:tc>
        <w:tc>
          <w:tcPr>
            <w:tcW w:w="900" w:type="dxa"/>
            <w:vAlign w:val="bottom"/>
            <w:gridSpan w:val="2"/>
            <w:vMerge w:val="restart"/>
            <w:shd w:val="clear" w:color="auto" w:fill="5668B0"/>
          </w:tcPr>
          <w:p>
            <w:pPr>
              <w:jc w:val="right"/>
              <w:ind w:right="140"/>
              <w:spacing w:after="0"/>
              <w:rPr>
                <w:sz w:val="20"/>
                <w:szCs w:val="20"/>
                <w:color w:val="auto"/>
              </w:rPr>
            </w:pPr>
            <w:r>
              <w:rPr>
                <w:rFonts w:ascii="Arial" w:cs="Arial" w:eastAsia="Arial" w:hAnsi="Arial"/>
                <w:sz w:val="13"/>
                <w:szCs w:val="13"/>
                <w:color w:val="FFFFFE"/>
              </w:rPr>
              <w:t>Employees</w:t>
            </w:r>
            <w:r>
              <w:rPr>
                <w:rFonts w:ascii="Arial" w:cs="Arial" w:eastAsia="Arial" w:hAnsi="Arial"/>
                <w:sz w:val="20"/>
                <w:szCs w:val="20"/>
                <w:color w:val="FFFFFE"/>
                <w:vertAlign w:val="superscript"/>
              </w:rPr>
              <w:t>*</w:t>
            </w:r>
          </w:p>
        </w:tc>
        <w:tc>
          <w:tcPr>
            <w:tcW w:w="0" w:type="dxa"/>
            <w:vAlign w:val="bottom"/>
          </w:tcPr>
          <w:p>
            <w:pPr>
              <w:spacing w:after="0"/>
              <w:rPr>
                <w:sz w:val="1"/>
                <w:szCs w:val="1"/>
                <w:color w:val="auto"/>
              </w:rPr>
            </w:pPr>
          </w:p>
        </w:tc>
      </w:tr>
      <w:tr>
        <w:trPr>
          <w:trHeight w:val="190"/>
        </w:trPr>
        <w:tc>
          <w:tcPr>
            <w:tcW w:w="2380" w:type="dxa"/>
            <w:vAlign w:val="bottom"/>
            <w:gridSpan w:val="3"/>
            <w:shd w:val="clear" w:color="auto" w:fill="5668B0"/>
          </w:tcPr>
          <w:p>
            <w:pPr>
              <w:ind w:left="1360"/>
              <w:spacing w:after="0"/>
              <w:rPr>
                <w:sz w:val="20"/>
                <w:szCs w:val="20"/>
                <w:color w:val="auto"/>
              </w:rPr>
            </w:pPr>
            <w:r>
              <w:rPr>
                <w:rFonts w:ascii="Arial" w:cs="Arial" w:eastAsia="Arial" w:hAnsi="Arial"/>
                <w:sz w:val="13"/>
                <w:szCs w:val="13"/>
                <w:color w:val="FFFFFE"/>
              </w:rPr>
              <w:t>As of 8/31/2015</w:t>
            </w:r>
          </w:p>
        </w:tc>
        <w:tc>
          <w:tcPr>
            <w:tcW w:w="2480" w:type="dxa"/>
            <w:vAlign w:val="bottom"/>
            <w:gridSpan w:val="3"/>
            <w:shd w:val="clear" w:color="auto" w:fill="5668B0"/>
          </w:tcPr>
          <w:p>
            <w:pPr>
              <w:jc w:val="right"/>
              <w:ind w:right="93"/>
              <w:spacing w:after="0"/>
              <w:rPr>
                <w:sz w:val="20"/>
                <w:szCs w:val="20"/>
                <w:color w:val="auto"/>
              </w:rPr>
            </w:pPr>
            <w:r>
              <w:rPr>
                <w:rFonts w:ascii="Arial" w:cs="Arial" w:eastAsia="Arial" w:hAnsi="Arial"/>
                <w:sz w:val="13"/>
                <w:szCs w:val="13"/>
                <w:color w:val="FFFFFE"/>
              </w:rPr>
              <w:t>12-Month Average</w:t>
            </w:r>
          </w:p>
        </w:tc>
        <w:tc>
          <w:tcPr>
            <w:tcW w:w="2160" w:type="dxa"/>
            <w:vAlign w:val="bottom"/>
            <w:gridSpan w:val="3"/>
            <w:shd w:val="clear" w:color="auto" w:fill="5668B0"/>
          </w:tcPr>
          <w:p>
            <w:pPr>
              <w:jc w:val="right"/>
              <w:ind w:right="13"/>
              <w:spacing w:after="0"/>
              <w:rPr>
                <w:sz w:val="20"/>
                <w:szCs w:val="20"/>
                <w:color w:val="auto"/>
              </w:rPr>
            </w:pPr>
            <w:r>
              <w:rPr>
                <w:rFonts w:ascii="Arial" w:cs="Arial" w:eastAsia="Arial" w:hAnsi="Arial"/>
                <w:sz w:val="13"/>
                <w:szCs w:val="13"/>
                <w:color w:val="FFFFFE"/>
              </w:rPr>
              <w:t>Revenue (in millions)</w:t>
            </w:r>
          </w:p>
        </w:tc>
        <w:tc>
          <w:tcPr>
            <w:tcW w:w="1320" w:type="dxa"/>
            <w:vAlign w:val="bottom"/>
            <w:shd w:val="clear" w:color="auto" w:fill="5668B0"/>
          </w:tcPr>
          <w:p>
            <w:pPr>
              <w:spacing w:after="0"/>
              <w:rPr>
                <w:sz w:val="16"/>
                <w:szCs w:val="16"/>
                <w:color w:val="auto"/>
              </w:rPr>
            </w:pPr>
          </w:p>
        </w:tc>
        <w:tc>
          <w:tcPr>
            <w:tcW w:w="900" w:type="dxa"/>
            <w:vAlign w:val="bottom"/>
            <w:gridSpan w:val="2"/>
            <w:vMerge w:val="continue"/>
            <w:shd w:val="clear" w:color="auto" w:fill="5668B0"/>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Gilead</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154,201</w:t>
            </w:r>
          </w:p>
        </w:tc>
        <w:tc>
          <w:tcPr>
            <w:tcW w:w="1540" w:type="dxa"/>
            <w:vAlign w:val="bottom"/>
            <w:shd w:val="clear" w:color="auto" w:fill="E6ECF8"/>
          </w:tcPr>
          <w:p>
            <w:pPr>
              <w:ind w:left="80"/>
              <w:spacing w:after="0"/>
              <w:rPr>
                <w:sz w:val="20"/>
                <w:szCs w:val="20"/>
                <w:color w:val="auto"/>
              </w:rPr>
            </w:pPr>
            <w:r>
              <w:rPr>
                <w:rFonts w:ascii="Arial" w:cs="Arial" w:eastAsia="Arial" w:hAnsi="Arial"/>
                <w:sz w:val="13"/>
                <w:szCs w:val="13"/>
                <w:color w:val="auto"/>
              </w:rPr>
              <w:t>Gilead</w:t>
            </w: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157,984</w:t>
            </w:r>
          </w:p>
        </w:tc>
        <w:tc>
          <w:tcPr>
            <w:tcW w:w="1340" w:type="dxa"/>
            <w:vAlign w:val="bottom"/>
            <w:shd w:val="clear" w:color="auto" w:fill="E6ECF8"/>
          </w:tcPr>
          <w:p>
            <w:pPr>
              <w:spacing w:after="0"/>
              <w:rPr>
                <w:sz w:val="20"/>
                <w:szCs w:val="20"/>
                <w:color w:val="auto"/>
              </w:rPr>
            </w:pPr>
            <w:r>
              <w:rPr>
                <w:rFonts w:ascii="Arial" w:cs="Arial" w:eastAsia="Arial" w:hAnsi="Arial"/>
                <w:sz w:val="13"/>
                <w:szCs w:val="13"/>
                <w:color w:val="auto"/>
              </w:rPr>
              <w:t>Gilead</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29,194</w:t>
            </w:r>
          </w:p>
        </w:tc>
        <w:tc>
          <w:tcPr>
            <w:tcW w:w="1320" w:type="dxa"/>
            <w:vAlign w:val="bottom"/>
            <w:shd w:val="clear" w:color="auto" w:fill="E6ECF8"/>
          </w:tcPr>
          <w:p>
            <w:pPr>
              <w:ind w:left="60"/>
              <w:spacing w:after="0"/>
              <w:rPr>
                <w:sz w:val="20"/>
                <w:szCs w:val="20"/>
                <w:color w:val="auto"/>
              </w:rPr>
            </w:pPr>
            <w:r>
              <w:rPr>
                <w:rFonts w:ascii="Arial" w:cs="Arial" w:eastAsia="Arial" w:hAnsi="Arial"/>
                <w:sz w:val="13"/>
                <w:szCs w:val="13"/>
                <w:color w:val="auto"/>
              </w:rPr>
              <w:t>Lilly</w:t>
            </w: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39,135</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Amgen</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115,087</w:t>
            </w:r>
          </w:p>
        </w:tc>
        <w:tc>
          <w:tcPr>
            <w:tcW w:w="1540" w:type="dxa"/>
            <w:vAlign w:val="bottom"/>
            <w:shd w:val="clear" w:color="auto" w:fill="D0DBEF"/>
          </w:tcPr>
          <w:p>
            <w:pPr>
              <w:ind w:left="80"/>
              <w:spacing w:after="0"/>
              <w:rPr>
                <w:sz w:val="20"/>
                <w:szCs w:val="20"/>
                <w:color w:val="auto"/>
              </w:rPr>
            </w:pPr>
            <w:r>
              <w:rPr>
                <w:rFonts w:ascii="Arial" w:cs="Arial" w:eastAsia="Arial" w:hAnsi="Arial"/>
                <w:sz w:val="13"/>
                <w:szCs w:val="13"/>
                <w:color w:val="auto"/>
              </w:rPr>
              <w:t>Amgen</w:t>
            </w: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119,866</w:t>
            </w:r>
          </w:p>
        </w:tc>
        <w:tc>
          <w:tcPr>
            <w:tcW w:w="1340" w:type="dxa"/>
            <w:vAlign w:val="bottom"/>
            <w:shd w:val="clear" w:color="auto" w:fill="D0DBEF"/>
          </w:tcPr>
          <w:p>
            <w:pPr>
              <w:spacing w:after="0"/>
              <w:rPr>
                <w:sz w:val="20"/>
                <w:szCs w:val="20"/>
                <w:color w:val="auto"/>
              </w:rPr>
            </w:pPr>
            <w:r>
              <w:rPr>
                <w:rFonts w:ascii="Arial" w:cs="Arial" w:eastAsia="Arial" w:hAnsi="Arial"/>
                <w:sz w:val="13"/>
                <w:szCs w:val="13"/>
                <w:color w:val="auto"/>
              </w:rPr>
              <w:t>AbbVie</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20,986</w:t>
            </w:r>
          </w:p>
        </w:tc>
        <w:tc>
          <w:tcPr>
            <w:tcW w:w="1320" w:type="dxa"/>
            <w:vAlign w:val="bottom"/>
            <w:shd w:val="clear" w:color="auto" w:fill="D0DBEF"/>
          </w:tcPr>
          <w:p>
            <w:pPr>
              <w:ind w:left="60"/>
              <w:spacing w:after="0"/>
              <w:rPr>
                <w:sz w:val="20"/>
                <w:szCs w:val="20"/>
                <w:color w:val="auto"/>
              </w:rPr>
            </w:pPr>
            <w:r>
              <w:rPr>
                <w:rFonts w:ascii="Arial" w:cs="Arial" w:eastAsia="Arial" w:hAnsi="Arial"/>
                <w:sz w:val="13"/>
                <w:szCs w:val="13"/>
                <w:color w:val="auto"/>
              </w:rPr>
              <w:t>AbbVie</w:t>
            </w: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28,000</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AbbVie</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103,306</w:t>
            </w:r>
          </w:p>
        </w:tc>
        <w:tc>
          <w:tcPr>
            <w:tcW w:w="1540" w:type="dxa"/>
            <w:vAlign w:val="bottom"/>
            <w:shd w:val="clear" w:color="auto" w:fill="E6ECF8"/>
          </w:tcPr>
          <w:p>
            <w:pPr>
              <w:ind w:left="80"/>
              <w:spacing w:after="0"/>
              <w:rPr>
                <w:sz w:val="20"/>
                <w:szCs w:val="20"/>
                <w:color w:val="auto"/>
              </w:rPr>
            </w:pPr>
            <w:r>
              <w:rPr>
                <w:rFonts w:ascii="Arial" w:cs="Arial" w:eastAsia="Arial" w:hAnsi="Arial"/>
                <w:sz w:val="13"/>
                <w:szCs w:val="13"/>
                <w:color w:val="auto"/>
              </w:rPr>
              <w:t>AbbVie</w:t>
            </w: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102,021</w:t>
            </w:r>
          </w:p>
        </w:tc>
        <w:tc>
          <w:tcPr>
            <w:tcW w:w="1340" w:type="dxa"/>
            <w:vAlign w:val="bottom"/>
            <w:shd w:val="clear" w:color="auto" w:fill="E6ECF8"/>
          </w:tcPr>
          <w:p>
            <w:pPr>
              <w:spacing w:after="0"/>
              <w:rPr>
                <w:sz w:val="20"/>
                <w:szCs w:val="20"/>
                <w:color w:val="auto"/>
              </w:rPr>
            </w:pPr>
            <w:r>
              <w:rPr>
                <w:rFonts w:ascii="Arial" w:cs="Arial" w:eastAsia="Arial" w:hAnsi="Arial"/>
                <w:sz w:val="13"/>
                <w:szCs w:val="13"/>
                <w:color w:val="auto"/>
              </w:rPr>
              <w:t>Amgen</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20,765</w:t>
            </w:r>
          </w:p>
        </w:tc>
        <w:tc>
          <w:tcPr>
            <w:tcW w:w="1320" w:type="dxa"/>
            <w:vAlign w:val="bottom"/>
            <w:shd w:val="clear" w:color="auto" w:fill="E6ECF8"/>
          </w:tcPr>
          <w:p>
            <w:pPr>
              <w:ind w:left="60"/>
              <w:spacing w:after="0"/>
              <w:rPr>
                <w:sz w:val="20"/>
                <w:szCs w:val="20"/>
                <w:color w:val="auto"/>
              </w:rPr>
            </w:pPr>
            <w:r>
              <w:rPr>
                <w:rFonts w:ascii="Arial" w:cs="Arial" w:eastAsia="Arial" w:hAnsi="Arial"/>
                <w:sz w:val="13"/>
                <w:szCs w:val="13"/>
                <w:color w:val="auto"/>
              </w:rPr>
              <w:t>BMS</w:t>
            </w: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BMS</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99,166</w:t>
            </w:r>
          </w:p>
        </w:tc>
        <w:tc>
          <w:tcPr>
            <w:tcW w:w="1540" w:type="dxa"/>
            <w:vAlign w:val="bottom"/>
            <w:shd w:val="clear" w:color="auto" w:fill="D0DBEF"/>
          </w:tcPr>
          <w:p>
            <w:pPr>
              <w:ind w:left="80"/>
              <w:spacing w:after="0"/>
              <w:rPr>
                <w:sz w:val="20"/>
                <w:szCs w:val="20"/>
                <w:color w:val="auto"/>
              </w:rPr>
            </w:pPr>
            <w:r>
              <w:rPr>
                <w:rFonts w:ascii="Arial" w:cs="Arial" w:eastAsia="Arial" w:hAnsi="Arial"/>
                <w:sz w:val="13"/>
                <w:szCs w:val="13"/>
                <w:color w:val="auto"/>
              </w:rPr>
              <w:t>BMS</w:t>
            </w: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101,620</w:t>
            </w:r>
          </w:p>
        </w:tc>
        <w:tc>
          <w:tcPr>
            <w:tcW w:w="1340" w:type="dxa"/>
            <w:vAlign w:val="bottom"/>
            <w:shd w:val="clear" w:color="auto" w:fill="D0DBEF"/>
          </w:tcPr>
          <w:p>
            <w:pPr>
              <w:spacing w:after="0"/>
              <w:rPr>
                <w:sz w:val="20"/>
                <w:szCs w:val="20"/>
                <w:color w:val="auto"/>
              </w:rPr>
            </w:pPr>
            <w:r>
              <w:rPr>
                <w:rFonts w:ascii="Arial" w:cs="Arial" w:eastAsia="Arial" w:hAnsi="Arial"/>
                <w:sz w:val="13"/>
                <w:szCs w:val="13"/>
                <w:color w:val="auto"/>
              </w:rPr>
              <w:t>Lilly</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19,620</w:t>
            </w:r>
          </w:p>
        </w:tc>
        <w:tc>
          <w:tcPr>
            <w:tcW w:w="1320" w:type="dxa"/>
            <w:vAlign w:val="bottom"/>
            <w:shd w:val="clear" w:color="auto" w:fill="D0DBEF"/>
          </w:tcPr>
          <w:p>
            <w:pPr>
              <w:ind w:left="60"/>
              <w:spacing w:after="0"/>
              <w:rPr>
                <w:sz w:val="20"/>
                <w:szCs w:val="20"/>
                <w:color w:val="auto"/>
              </w:rPr>
            </w:pPr>
            <w:r>
              <w:rPr>
                <w:rFonts w:ascii="Arial" w:cs="Arial" w:eastAsia="Arial" w:hAnsi="Arial"/>
                <w:sz w:val="13"/>
                <w:szCs w:val="13"/>
                <w:color w:val="auto"/>
              </w:rPr>
              <w:t>Amgen</w:t>
            </w: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17,900</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Celgene</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93,347</w:t>
            </w:r>
          </w:p>
        </w:tc>
        <w:tc>
          <w:tcPr>
            <w:tcW w:w="1540" w:type="dxa"/>
            <w:vAlign w:val="bottom"/>
            <w:shd w:val="clear" w:color="auto" w:fill="E6ECF8"/>
          </w:tcPr>
          <w:p>
            <w:pPr>
              <w:ind w:left="80"/>
              <w:spacing w:after="0"/>
              <w:rPr>
                <w:sz w:val="20"/>
                <w:szCs w:val="20"/>
                <w:color w:val="auto"/>
              </w:rPr>
            </w:pPr>
            <w:r>
              <w:rPr>
                <w:rFonts w:ascii="Arial" w:cs="Arial" w:eastAsia="Arial" w:hAnsi="Arial"/>
                <w:sz w:val="13"/>
                <w:szCs w:val="13"/>
                <w:color w:val="auto"/>
              </w:rPr>
              <w:t>Celgene</w:t>
            </w: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91,033</w:t>
            </w:r>
          </w:p>
        </w:tc>
        <w:tc>
          <w:tcPr>
            <w:tcW w:w="1340" w:type="dxa"/>
            <w:vAlign w:val="bottom"/>
            <w:shd w:val="clear" w:color="auto" w:fill="E6ECF8"/>
          </w:tcPr>
          <w:p>
            <w:pPr>
              <w:spacing w:after="0"/>
              <w:rPr>
                <w:sz w:val="20"/>
                <w:szCs w:val="20"/>
                <w:color w:val="auto"/>
              </w:rPr>
            </w:pPr>
            <w:r>
              <w:rPr>
                <w:rFonts w:ascii="Arial" w:cs="Arial" w:eastAsia="Arial" w:hAnsi="Arial"/>
                <w:sz w:val="13"/>
                <w:szCs w:val="13"/>
                <w:color w:val="auto"/>
              </w:rPr>
              <w:t>BMS</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16,383</w:t>
            </w:r>
          </w:p>
        </w:tc>
        <w:tc>
          <w:tcPr>
            <w:tcW w:w="1320" w:type="dxa"/>
            <w:vAlign w:val="bottom"/>
            <w:shd w:val="clear" w:color="auto" w:fill="E6ECF8"/>
          </w:tcPr>
          <w:p>
            <w:pPr>
              <w:ind w:left="60"/>
              <w:spacing w:after="0"/>
              <w:rPr>
                <w:sz w:val="20"/>
                <w:szCs w:val="20"/>
                <w:color w:val="auto"/>
              </w:rPr>
            </w:pPr>
            <w:r>
              <w:rPr>
                <w:rFonts w:ascii="Arial" w:cs="Arial" w:eastAsia="Arial" w:hAnsi="Arial"/>
                <w:sz w:val="13"/>
                <w:szCs w:val="13"/>
                <w:color w:val="auto"/>
              </w:rPr>
              <w:t>Biogen</w:t>
            </w: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7,550</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Lilly</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87,343</w:t>
            </w:r>
          </w:p>
        </w:tc>
        <w:tc>
          <w:tcPr>
            <w:tcW w:w="1540" w:type="dxa"/>
            <w:vAlign w:val="bottom"/>
            <w:shd w:val="clear" w:color="auto" w:fill="D0DBEF"/>
          </w:tcPr>
          <w:p>
            <w:pPr>
              <w:ind w:left="80"/>
              <w:spacing w:after="0"/>
              <w:rPr>
                <w:sz w:val="20"/>
                <w:szCs w:val="20"/>
                <w:color w:val="auto"/>
              </w:rPr>
            </w:pPr>
            <w:r>
              <w:rPr>
                <w:rFonts w:ascii="Arial" w:cs="Arial" w:eastAsia="Arial" w:hAnsi="Arial"/>
                <w:sz w:val="13"/>
                <w:szCs w:val="13"/>
                <w:color w:val="auto"/>
              </w:rPr>
              <w:t>Biogen</w:t>
            </w: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84,590</w:t>
            </w:r>
          </w:p>
        </w:tc>
        <w:tc>
          <w:tcPr>
            <w:tcW w:w="1340" w:type="dxa"/>
            <w:vAlign w:val="bottom"/>
            <w:shd w:val="clear" w:color="auto" w:fill="D0DBEF"/>
          </w:tcPr>
          <w:p>
            <w:pPr>
              <w:spacing w:after="0"/>
              <w:rPr>
                <w:sz w:val="20"/>
                <w:szCs w:val="20"/>
                <w:color w:val="auto"/>
              </w:rPr>
            </w:pPr>
            <w:r>
              <w:rPr>
                <w:rFonts w:ascii="Arial" w:cs="Arial" w:eastAsia="Arial" w:hAnsi="Arial"/>
                <w:sz w:val="13"/>
                <w:szCs w:val="13"/>
                <w:color w:val="auto"/>
              </w:rPr>
              <w:t>Biogen</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10,296</w:t>
            </w:r>
          </w:p>
        </w:tc>
        <w:tc>
          <w:tcPr>
            <w:tcW w:w="1320" w:type="dxa"/>
            <w:vAlign w:val="bottom"/>
            <w:shd w:val="clear" w:color="auto" w:fill="D0DBEF"/>
          </w:tcPr>
          <w:p>
            <w:pPr>
              <w:ind w:left="60"/>
              <w:spacing w:after="0"/>
              <w:rPr>
                <w:sz w:val="20"/>
                <w:szCs w:val="20"/>
                <w:color w:val="auto"/>
              </w:rPr>
            </w:pPr>
            <w:r>
              <w:rPr>
                <w:rFonts w:ascii="Arial" w:cs="Arial" w:eastAsia="Arial" w:hAnsi="Arial"/>
                <w:sz w:val="13"/>
                <w:szCs w:val="13"/>
                <w:color w:val="auto"/>
              </w:rPr>
              <w:t>Gilead</w:t>
            </w: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7,000</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Biogen</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69,916</w:t>
            </w:r>
          </w:p>
        </w:tc>
        <w:tc>
          <w:tcPr>
            <w:tcW w:w="1540" w:type="dxa"/>
            <w:vAlign w:val="bottom"/>
            <w:shd w:val="clear" w:color="auto" w:fill="E6ECF8"/>
          </w:tcPr>
          <w:p>
            <w:pPr>
              <w:ind w:left="80"/>
              <w:spacing w:after="0"/>
              <w:rPr>
                <w:sz w:val="20"/>
                <w:szCs w:val="20"/>
                <w:color w:val="auto"/>
              </w:rPr>
            </w:pPr>
            <w:r>
              <w:rPr>
                <w:rFonts w:ascii="Arial" w:cs="Arial" w:eastAsia="Arial" w:hAnsi="Arial"/>
                <w:sz w:val="13"/>
                <w:szCs w:val="13"/>
                <w:color w:val="auto"/>
              </w:rPr>
              <w:t>Lilly</w:t>
            </w: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78,328</w:t>
            </w:r>
          </w:p>
        </w:tc>
        <w:tc>
          <w:tcPr>
            <w:tcW w:w="1340" w:type="dxa"/>
            <w:vAlign w:val="bottom"/>
            <w:shd w:val="clear" w:color="auto" w:fill="E6ECF8"/>
          </w:tcPr>
          <w:p>
            <w:pPr>
              <w:spacing w:after="0"/>
              <w:rPr>
                <w:sz w:val="20"/>
                <w:szCs w:val="20"/>
                <w:color w:val="auto"/>
              </w:rPr>
            </w:pPr>
            <w:r>
              <w:rPr>
                <w:rFonts w:ascii="Arial" w:cs="Arial" w:eastAsia="Arial" w:hAnsi="Arial"/>
                <w:sz w:val="13"/>
                <w:szCs w:val="13"/>
                <w:color w:val="auto"/>
              </w:rPr>
              <w:t>Celgene</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8,426</w:t>
            </w:r>
          </w:p>
        </w:tc>
        <w:tc>
          <w:tcPr>
            <w:tcW w:w="1320" w:type="dxa"/>
            <w:vAlign w:val="bottom"/>
            <w:shd w:val="clear" w:color="auto" w:fill="E6ECF8"/>
          </w:tcPr>
          <w:p>
            <w:pPr>
              <w:ind w:left="60"/>
              <w:spacing w:after="0"/>
              <w:rPr>
                <w:sz w:val="20"/>
                <w:szCs w:val="20"/>
                <w:color w:val="auto"/>
              </w:rPr>
            </w:pPr>
            <w:r>
              <w:rPr>
                <w:rFonts w:ascii="Arial" w:cs="Arial" w:eastAsia="Arial" w:hAnsi="Arial"/>
                <w:sz w:val="13"/>
                <w:szCs w:val="13"/>
                <w:color w:val="auto"/>
              </w:rPr>
              <w:t>Celgene</w:t>
            </w: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6,012</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Regeneron</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54,257</w:t>
            </w:r>
          </w:p>
        </w:tc>
        <w:tc>
          <w:tcPr>
            <w:tcW w:w="1540" w:type="dxa"/>
            <w:vAlign w:val="bottom"/>
            <w:shd w:val="clear" w:color="auto" w:fill="D0DBEF"/>
          </w:tcPr>
          <w:p>
            <w:pPr>
              <w:ind w:left="80"/>
              <w:spacing w:after="0"/>
              <w:rPr>
                <w:sz w:val="20"/>
                <w:szCs w:val="20"/>
                <w:color w:val="auto"/>
              </w:rPr>
            </w:pPr>
            <w:r>
              <w:rPr>
                <w:rFonts w:ascii="Arial" w:cs="Arial" w:eastAsia="Arial" w:hAnsi="Arial"/>
                <w:sz w:val="13"/>
                <w:szCs w:val="13"/>
                <w:color w:val="auto"/>
              </w:rPr>
              <w:t>Regeneron</w:t>
            </w: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46,358</w:t>
            </w:r>
          </w:p>
        </w:tc>
        <w:tc>
          <w:tcPr>
            <w:tcW w:w="1340" w:type="dxa"/>
            <w:vAlign w:val="bottom"/>
            <w:shd w:val="clear" w:color="auto" w:fill="D0DBEF"/>
          </w:tcPr>
          <w:p>
            <w:pPr>
              <w:spacing w:after="0"/>
              <w:rPr>
                <w:sz w:val="20"/>
                <w:szCs w:val="20"/>
                <w:color w:val="auto"/>
              </w:rPr>
            </w:pPr>
            <w:r>
              <w:rPr>
                <w:rFonts w:ascii="Arial" w:cs="Arial" w:eastAsia="Arial" w:hAnsi="Arial"/>
                <w:sz w:val="13"/>
                <w:szCs w:val="13"/>
                <w:color w:val="auto"/>
              </w:rPr>
              <w:t>Regeneron</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3,396</w:t>
            </w:r>
          </w:p>
        </w:tc>
        <w:tc>
          <w:tcPr>
            <w:tcW w:w="1320" w:type="dxa"/>
            <w:vAlign w:val="bottom"/>
            <w:shd w:val="clear" w:color="auto" w:fill="D0DBEF"/>
          </w:tcPr>
          <w:p>
            <w:pPr>
              <w:ind w:left="60"/>
              <w:spacing w:after="0"/>
              <w:rPr>
                <w:sz w:val="20"/>
                <w:szCs w:val="20"/>
                <w:color w:val="auto"/>
              </w:rPr>
            </w:pPr>
            <w:r>
              <w:rPr>
                <w:rFonts w:ascii="Arial" w:cs="Arial" w:eastAsia="Arial" w:hAnsi="Arial"/>
                <w:sz w:val="13"/>
                <w:szCs w:val="13"/>
                <w:color w:val="auto"/>
              </w:rPr>
              <w:t>Regeneron</w:t>
            </w: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3,320</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Alexion</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38,942</w:t>
            </w:r>
          </w:p>
        </w:tc>
        <w:tc>
          <w:tcPr>
            <w:tcW w:w="1540" w:type="dxa"/>
            <w:vAlign w:val="bottom"/>
            <w:shd w:val="clear" w:color="auto" w:fill="E6ECF8"/>
          </w:tcPr>
          <w:p>
            <w:pPr>
              <w:ind w:left="80"/>
              <w:spacing w:after="0"/>
              <w:rPr>
                <w:sz w:val="20"/>
                <w:szCs w:val="20"/>
                <w:color w:val="auto"/>
              </w:rPr>
            </w:pPr>
            <w:r>
              <w:rPr>
                <w:rFonts w:ascii="Arial" w:cs="Arial" w:eastAsia="Arial" w:hAnsi="Arial"/>
                <w:sz w:val="13"/>
                <w:szCs w:val="13"/>
                <w:color w:val="auto"/>
              </w:rPr>
              <w:t>Alexion</w:t>
            </w: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37,041</w:t>
            </w:r>
          </w:p>
        </w:tc>
        <w:tc>
          <w:tcPr>
            <w:tcW w:w="1340" w:type="dxa"/>
            <w:vAlign w:val="bottom"/>
            <w:shd w:val="clear" w:color="auto" w:fill="E6ECF8"/>
          </w:tcPr>
          <w:p>
            <w:pPr>
              <w:spacing w:after="0"/>
              <w:rPr>
                <w:sz w:val="20"/>
                <w:szCs w:val="20"/>
                <w:color w:val="auto"/>
              </w:rPr>
            </w:pPr>
            <w:r>
              <w:rPr>
                <w:rFonts w:ascii="Arial" w:cs="Arial" w:eastAsia="Arial" w:hAnsi="Arial"/>
                <w:sz w:val="13"/>
                <w:szCs w:val="13"/>
                <w:color w:val="auto"/>
              </w:rPr>
              <w:t>Alexion</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2,391</w:t>
            </w:r>
          </w:p>
        </w:tc>
        <w:tc>
          <w:tcPr>
            <w:tcW w:w="1320" w:type="dxa"/>
            <w:vAlign w:val="bottom"/>
            <w:shd w:val="clear" w:color="auto" w:fill="E6ECF8"/>
          </w:tcPr>
          <w:p>
            <w:pPr>
              <w:ind w:left="60"/>
              <w:spacing w:after="0"/>
              <w:rPr>
                <w:sz w:val="20"/>
                <w:szCs w:val="20"/>
                <w:color w:val="auto"/>
              </w:rPr>
            </w:pPr>
            <w:r>
              <w:rPr>
                <w:rFonts w:ascii="Arial" w:cs="Arial" w:eastAsia="Arial" w:hAnsi="Arial"/>
                <w:sz w:val="13"/>
                <w:szCs w:val="13"/>
                <w:color w:val="auto"/>
              </w:rPr>
              <w:t>Alexion</w:t>
            </w: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2,273</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Vertex</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31,198</w:t>
            </w:r>
          </w:p>
        </w:tc>
        <w:tc>
          <w:tcPr>
            <w:tcW w:w="1540" w:type="dxa"/>
            <w:vAlign w:val="bottom"/>
            <w:shd w:val="clear" w:color="auto" w:fill="D0DBEF"/>
          </w:tcPr>
          <w:p>
            <w:pPr>
              <w:ind w:left="80"/>
              <w:spacing w:after="0"/>
              <w:rPr>
                <w:sz w:val="20"/>
                <w:szCs w:val="20"/>
                <w:color w:val="auto"/>
              </w:rPr>
            </w:pPr>
            <w:r>
              <w:rPr>
                <w:rFonts w:ascii="Arial" w:cs="Arial" w:eastAsia="Arial" w:hAnsi="Arial"/>
                <w:sz w:val="13"/>
                <w:szCs w:val="13"/>
                <w:color w:val="auto"/>
              </w:rPr>
              <w:t>Vertex</w:t>
            </w: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29,201</w:t>
            </w:r>
          </w:p>
        </w:tc>
        <w:tc>
          <w:tcPr>
            <w:tcW w:w="1340" w:type="dxa"/>
            <w:vAlign w:val="bottom"/>
            <w:shd w:val="clear" w:color="auto" w:fill="D0DBEF"/>
          </w:tcPr>
          <w:p>
            <w:pPr>
              <w:spacing w:after="0"/>
              <w:rPr>
                <w:sz w:val="20"/>
                <w:szCs w:val="20"/>
                <w:color w:val="auto"/>
              </w:rPr>
            </w:pPr>
            <w:r>
              <w:rPr>
                <w:rFonts w:ascii="Arial" w:cs="Arial" w:eastAsia="Arial" w:hAnsi="Arial"/>
                <w:sz w:val="13"/>
                <w:szCs w:val="13"/>
                <w:color w:val="auto"/>
              </w:rPr>
              <w:t>United Therapeutics</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1,351</w:t>
            </w:r>
          </w:p>
        </w:tc>
        <w:tc>
          <w:tcPr>
            <w:tcW w:w="1320" w:type="dxa"/>
            <w:vAlign w:val="bottom"/>
            <w:shd w:val="clear" w:color="auto" w:fill="D0DBEF"/>
          </w:tcPr>
          <w:p>
            <w:pPr>
              <w:ind w:left="60"/>
              <w:spacing w:after="0"/>
              <w:rPr>
                <w:sz w:val="20"/>
                <w:szCs w:val="20"/>
                <w:color w:val="auto"/>
              </w:rPr>
            </w:pPr>
            <w:r>
              <w:rPr>
                <w:rFonts w:ascii="Arial" w:cs="Arial" w:eastAsia="Arial" w:hAnsi="Arial"/>
                <w:sz w:val="13"/>
                <w:szCs w:val="13"/>
                <w:color w:val="auto"/>
              </w:rPr>
              <w:t>Vertex</w:t>
            </w: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1,830</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Incyte</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20,970</w:t>
            </w:r>
          </w:p>
        </w:tc>
        <w:tc>
          <w:tcPr>
            <w:tcW w:w="1540" w:type="dxa"/>
            <w:vAlign w:val="bottom"/>
            <w:shd w:val="clear" w:color="auto" w:fill="E6ECF8"/>
          </w:tcPr>
          <w:p>
            <w:pPr>
              <w:ind w:left="80"/>
              <w:spacing w:after="0"/>
              <w:rPr>
                <w:sz w:val="20"/>
                <w:szCs w:val="20"/>
                <w:color w:val="auto"/>
              </w:rPr>
            </w:pPr>
            <w:r>
              <w:rPr>
                <w:rFonts w:ascii="Arial" w:cs="Arial" w:eastAsia="Arial" w:hAnsi="Arial"/>
                <w:sz w:val="13"/>
                <w:szCs w:val="13"/>
                <w:color w:val="auto"/>
              </w:rPr>
              <w:t>BioMarin</w:t>
            </w: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17,132</w:t>
            </w:r>
          </w:p>
        </w:tc>
        <w:tc>
          <w:tcPr>
            <w:tcW w:w="1340" w:type="dxa"/>
            <w:vAlign w:val="bottom"/>
            <w:shd w:val="clear" w:color="auto" w:fill="E6ECF8"/>
          </w:tcPr>
          <w:p>
            <w:pPr>
              <w:spacing w:after="0"/>
              <w:rPr>
                <w:sz w:val="20"/>
                <w:szCs w:val="20"/>
                <w:color w:val="auto"/>
              </w:rPr>
            </w:pPr>
            <w:r>
              <w:rPr>
                <w:rFonts w:ascii="Arial" w:cs="Arial" w:eastAsia="Arial" w:hAnsi="Arial"/>
                <w:sz w:val="13"/>
                <w:szCs w:val="13"/>
                <w:color w:val="auto"/>
              </w:rPr>
              <w:t>BioMarin</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861</w:t>
            </w:r>
          </w:p>
        </w:tc>
        <w:tc>
          <w:tcPr>
            <w:tcW w:w="1320" w:type="dxa"/>
            <w:vAlign w:val="bottom"/>
            <w:shd w:val="clear" w:color="auto" w:fill="E6ECF8"/>
          </w:tcPr>
          <w:p>
            <w:pPr>
              <w:ind w:left="60"/>
              <w:spacing w:after="0"/>
              <w:rPr>
                <w:sz w:val="20"/>
                <w:szCs w:val="20"/>
                <w:color w:val="auto"/>
              </w:rPr>
            </w:pPr>
            <w:r>
              <w:rPr>
                <w:rFonts w:ascii="Arial" w:cs="Arial" w:eastAsia="Arial" w:hAnsi="Arial"/>
                <w:sz w:val="13"/>
                <w:szCs w:val="13"/>
                <w:color w:val="auto"/>
              </w:rPr>
              <w:t>BioMarin</w:t>
            </w: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1,681</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BioMarin</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20,820</w:t>
            </w:r>
          </w:p>
        </w:tc>
        <w:tc>
          <w:tcPr>
            <w:tcW w:w="1540" w:type="dxa"/>
            <w:vAlign w:val="bottom"/>
            <w:shd w:val="clear" w:color="auto" w:fill="D0DBEF"/>
          </w:tcPr>
          <w:p>
            <w:pPr>
              <w:ind w:left="80"/>
              <w:spacing w:after="0"/>
              <w:rPr>
                <w:sz w:val="20"/>
                <w:szCs w:val="20"/>
                <w:color w:val="auto"/>
              </w:rPr>
            </w:pPr>
            <w:r>
              <w:rPr>
                <w:rFonts w:ascii="Arial" w:cs="Arial" w:eastAsia="Arial" w:hAnsi="Arial"/>
                <w:sz w:val="13"/>
                <w:szCs w:val="13"/>
                <w:color w:val="auto"/>
              </w:rPr>
              <w:t>Incyte</w:t>
            </w: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15,294</w:t>
            </w:r>
          </w:p>
        </w:tc>
        <w:tc>
          <w:tcPr>
            <w:tcW w:w="1340" w:type="dxa"/>
            <w:vAlign w:val="bottom"/>
            <w:shd w:val="clear" w:color="auto" w:fill="D0DBEF"/>
          </w:tcPr>
          <w:p>
            <w:pPr>
              <w:spacing w:after="0"/>
              <w:rPr>
                <w:sz w:val="20"/>
                <w:szCs w:val="20"/>
                <w:color w:val="auto"/>
              </w:rPr>
            </w:pPr>
            <w:r>
              <w:rPr>
                <w:rFonts w:ascii="Arial" w:cs="Arial" w:eastAsia="Arial" w:hAnsi="Arial"/>
                <w:sz w:val="13"/>
                <w:szCs w:val="13"/>
                <w:color w:val="auto"/>
              </w:rPr>
              <w:t>Alkermes</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648</w:t>
            </w:r>
          </w:p>
        </w:tc>
        <w:tc>
          <w:tcPr>
            <w:tcW w:w="1320" w:type="dxa"/>
            <w:vAlign w:val="bottom"/>
            <w:shd w:val="clear" w:color="auto" w:fill="D0DBEF"/>
          </w:tcPr>
          <w:p>
            <w:pPr>
              <w:ind w:left="60"/>
              <w:spacing w:after="0"/>
              <w:rPr>
                <w:sz w:val="20"/>
                <w:szCs w:val="20"/>
                <w:color w:val="auto"/>
              </w:rPr>
            </w:pPr>
            <w:r>
              <w:rPr>
                <w:rFonts w:ascii="Arial" w:cs="Arial" w:eastAsia="Arial" w:hAnsi="Arial"/>
                <w:sz w:val="13"/>
                <w:szCs w:val="13"/>
                <w:color w:val="auto"/>
              </w:rPr>
              <w:t>Alkermes</w:t>
            </w: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1,300</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Alkermes</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8,898</w:t>
            </w:r>
          </w:p>
        </w:tc>
        <w:tc>
          <w:tcPr>
            <w:tcW w:w="1540" w:type="dxa"/>
            <w:vAlign w:val="bottom"/>
            <w:shd w:val="clear" w:color="auto" w:fill="E6ECF8"/>
          </w:tcPr>
          <w:p>
            <w:pPr>
              <w:ind w:left="80"/>
              <w:spacing w:after="0"/>
              <w:rPr>
                <w:sz w:val="20"/>
                <w:szCs w:val="20"/>
                <w:color w:val="auto"/>
              </w:rPr>
            </w:pPr>
            <w:r>
              <w:rPr>
                <w:rFonts w:ascii="Arial" w:cs="Arial" w:eastAsia="Arial" w:hAnsi="Arial"/>
                <w:sz w:val="13"/>
                <w:szCs w:val="13"/>
                <w:color w:val="auto"/>
              </w:rPr>
              <w:t>Alkermes</w:t>
            </w: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8,873</w:t>
            </w:r>
          </w:p>
        </w:tc>
        <w:tc>
          <w:tcPr>
            <w:tcW w:w="1340" w:type="dxa"/>
            <w:vAlign w:val="bottom"/>
            <w:shd w:val="clear" w:color="auto" w:fill="E6ECF8"/>
          </w:tcPr>
          <w:p>
            <w:pPr>
              <w:spacing w:after="0"/>
              <w:rPr>
                <w:sz w:val="20"/>
                <w:szCs w:val="20"/>
                <w:color w:val="auto"/>
              </w:rPr>
            </w:pPr>
            <w:r>
              <w:rPr>
                <w:rFonts w:ascii="Arial" w:cs="Arial" w:eastAsia="Arial" w:hAnsi="Arial"/>
                <w:sz w:val="13"/>
                <w:szCs w:val="13"/>
                <w:color w:val="auto"/>
              </w:rPr>
              <w:t>Incyte</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644</w:t>
            </w:r>
          </w:p>
        </w:tc>
        <w:tc>
          <w:tcPr>
            <w:tcW w:w="1320" w:type="dxa"/>
            <w:vAlign w:val="bottom"/>
            <w:shd w:val="clear" w:color="auto" w:fill="E6ECF8"/>
          </w:tcPr>
          <w:p>
            <w:pPr>
              <w:ind w:left="60"/>
              <w:spacing w:after="0"/>
              <w:rPr>
                <w:sz w:val="20"/>
                <w:szCs w:val="20"/>
                <w:color w:val="auto"/>
              </w:rPr>
            </w:pPr>
            <w:r>
              <w:rPr>
                <w:rFonts w:ascii="Arial" w:cs="Arial" w:eastAsia="Arial" w:hAnsi="Arial"/>
                <w:sz w:val="13"/>
                <w:szCs w:val="13"/>
                <w:color w:val="auto"/>
              </w:rPr>
              <w:t>United Therapeutics</w:t>
            </w: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740</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Alnylam</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8,708</w:t>
            </w:r>
          </w:p>
        </w:tc>
        <w:tc>
          <w:tcPr>
            <w:tcW w:w="1540" w:type="dxa"/>
            <w:vAlign w:val="bottom"/>
            <w:shd w:val="clear" w:color="auto" w:fill="D0DBEF"/>
          </w:tcPr>
          <w:p>
            <w:pPr>
              <w:ind w:left="80"/>
              <w:spacing w:after="0"/>
              <w:rPr>
                <w:sz w:val="20"/>
                <w:szCs w:val="20"/>
                <w:color w:val="auto"/>
              </w:rPr>
            </w:pPr>
            <w:r>
              <w:rPr>
                <w:rFonts w:ascii="Arial" w:cs="Arial" w:eastAsia="Arial" w:hAnsi="Arial"/>
                <w:sz w:val="13"/>
                <w:szCs w:val="13"/>
                <w:color w:val="auto"/>
              </w:rPr>
              <w:t>Alnylam</w:t>
            </w: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8,535</w:t>
            </w:r>
          </w:p>
        </w:tc>
        <w:tc>
          <w:tcPr>
            <w:tcW w:w="1340" w:type="dxa"/>
            <w:vAlign w:val="bottom"/>
            <w:shd w:val="clear" w:color="auto" w:fill="D0DBEF"/>
          </w:tcPr>
          <w:p>
            <w:pPr>
              <w:spacing w:after="0"/>
              <w:rPr>
                <w:sz w:val="20"/>
                <w:szCs w:val="20"/>
                <w:color w:val="auto"/>
              </w:rPr>
            </w:pPr>
            <w:r>
              <w:rPr>
                <w:rFonts w:ascii="Arial" w:cs="Arial" w:eastAsia="Arial" w:hAnsi="Arial"/>
                <w:sz w:val="13"/>
                <w:szCs w:val="13"/>
                <w:color w:val="auto"/>
              </w:rPr>
              <w:t>Vertex</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628</w:t>
            </w:r>
          </w:p>
        </w:tc>
        <w:tc>
          <w:tcPr>
            <w:tcW w:w="1320" w:type="dxa"/>
            <w:vAlign w:val="bottom"/>
            <w:shd w:val="clear" w:color="auto" w:fill="D0DBEF"/>
          </w:tcPr>
          <w:p>
            <w:pPr>
              <w:ind w:left="60"/>
              <w:spacing w:after="0"/>
              <w:rPr>
                <w:sz w:val="20"/>
                <w:szCs w:val="20"/>
                <w:color w:val="auto"/>
              </w:rPr>
            </w:pPr>
            <w:r>
              <w:rPr>
                <w:rFonts w:ascii="Arial" w:cs="Arial" w:eastAsia="Arial" w:hAnsi="Arial"/>
                <w:sz w:val="13"/>
                <w:szCs w:val="13"/>
                <w:color w:val="auto"/>
              </w:rPr>
              <w:t>Incyte</w:t>
            </w: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588</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United Therapeutics</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6,859</w:t>
            </w:r>
          </w:p>
        </w:tc>
        <w:tc>
          <w:tcPr>
            <w:tcW w:w="1540" w:type="dxa"/>
            <w:vAlign w:val="bottom"/>
            <w:shd w:val="clear" w:color="auto" w:fill="E6ECF8"/>
          </w:tcPr>
          <w:p>
            <w:pPr>
              <w:ind w:left="80"/>
              <w:spacing w:after="0"/>
              <w:rPr>
                <w:sz w:val="20"/>
                <w:szCs w:val="20"/>
                <w:color w:val="auto"/>
              </w:rPr>
            </w:pPr>
            <w:r>
              <w:rPr>
                <w:rFonts w:ascii="Arial" w:cs="Arial" w:eastAsia="Arial" w:hAnsi="Arial"/>
                <w:sz w:val="13"/>
                <w:szCs w:val="13"/>
                <w:color w:val="auto"/>
              </w:rPr>
              <w:t>United Therarapeutics</w:t>
            </w: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7,103</w:t>
            </w:r>
          </w:p>
        </w:tc>
        <w:tc>
          <w:tcPr>
            <w:tcW w:w="1340" w:type="dxa"/>
            <w:vAlign w:val="bottom"/>
            <w:shd w:val="clear" w:color="auto" w:fill="E6ECF8"/>
          </w:tcPr>
          <w:p>
            <w:pPr>
              <w:spacing w:after="0"/>
              <w:rPr>
                <w:sz w:val="20"/>
                <w:szCs w:val="20"/>
                <w:color w:val="auto"/>
              </w:rPr>
            </w:pPr>
            <w:r>
              <w:rPr>
                <w:rFonts w:ascii="Arial" w:cs="Arial" w:eastAsia="Arial" w:hAnsi="Arial"/>
                <w:sz w:val="13"/>
                <w:szCs w:val="13"/>
                <w:color w:val="auto"/>
              </w:rPr>
              <w:t>Alnylam</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62</w:t>
            </w:r>
          </w:p>
        </w:tc>
        <w:tc>
          <w:tcPr>
            <w:tcW w:w="1320" w:type="dxa"/>
            <w:vAlign w:val="bottom"/>
            <w:shd w:val="clear" w:color="auto" w:fill="E6ECF8"/>
          </w:tcPr>
          <w:p>
            <w:pPr>
              <w:ind w:left="60"/>
              <w:spacing w:after="0"/>
              <w:rPr>
                <w:sz w:val="20"/>
                <w:szCs w:val="20"/>
                <w:color w:val="auto"/>
              </w:rPr>
            </w:pPr>
            <w:r>
              <w:rPr>
                <w:rFonts w:ascii="Arial" w:cs="Arial" w:eastAsia="Arial" w:hAnsi="Arial"/>
                <w:sz w:val="13"/>
                <w:szCs w:val="13"/>
                <w:color w:val="auto"/>
              </w:rPr>
              <w:t>Alnylam</w:t>
            </w: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75th Percentile</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100,201</w:t>
            </w:r>
          </w:p>
        </w:tc>
        <w:tc>
          <w:tcPr>
            <w:tcW w:w="1540" w:type="dxa"/>
            <w:vAlign w:val="bottom"/>
            <w:shd w:val="clear" w:color="auto" w:fill="D0DBEF"/>
          </w:tcPr>
          <w:p>
            <w:pPr>
              <w:spacing w:after="0"/>
              <w:rPr>
                <w:sz w:val="13"/>
                <w:szCs w:val="13"/>
                <w:color w:val="auto"/>
              </w:rPr>
            </w:pP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101,720</w:t>
            </w:r>
          </w:p>
        </w:tc>
        <w:tc>
          <w:tcPr>
            <w:tcW w:w="1340" w:type="dxa"/>
            <w:vAlign w:val="bottom"/>
            <w:shd w:val="clear" w:color="auto" w:fill="D0DBEF"/>
          </w:tcPr>
          <w:p>
            <w:pPr>
              <w:spacing w:after="0"/>
              <w:rPr>
                <w:sz w:val="13"/>
                <w:szCs w:val="13"/>
                <w:color w:val="auto"/>
              </w:rPr>
            </w:pP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19,906</w:t>
            </w:r>
          </w:p>
        </w:tc>
        <w:tc>
          <w:tcPr>
            <w:tcW w:w="1320" w:type="dxa"/>
            <w:vAlign w:val="bottom"/>
            <w:shd w:val="clear" w:color="auto" w:fill="D0DBEF"/>
          </w:tcPr>
          <w:p>
            <w:pPr>
              <w:spacing w:after="0"/>
              <w:rPr>
                <w:sz w:val="13"/>
                <w:szCs w:val="13"/>
                <w:color w:val="auto"/>
              </w:rPr>
            </w:pP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19,675</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Median</w:t>
            </w: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54,429</w:t>
            </w:r>
          </w:p>
        </w:tc>
        <w:tc>
          <w:tcPr>
            <w:tcW w:w="1540" w:type="dxa"/>
            <w:vAlign w:val="bottom"/>
            <w:shd w:val="clear" w:color="auto" w:fill="E6ECF8"/>
          </w:tcPr>
          <w:p>
            <w:pPr>
              <w:spacing w:after="0"/>
              <w:rPr>
                <w:sz w:val="13"/>
                <w:szCs w:val="13"/>
                <w:color w:val="auto"/>
              </w:rPr>
            </w:pPr>
          </w:p>
        </w:tc>
        <w:tc>
          <w:tcPr>
            <w:tcW w:w="2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57,685</w:t>
            </w:r>
          </w:p>
        </w:tc>
        <w:tc>
          <w:tcPr>
            <w:tcW w:w="1340" w:type="dxa"/>
            <w:vAlign w:val="bottom"/>
            <w:shd w:val="clear" w:color="auto" w:fill="E6ECF8"/>
          </w:tcPr>
          <w:p>
            <w:pPr>
              <w:spacing w:after="0"/>
              <w:rPr>
                <w:sz w:val="13"/>
                <w:szCs w:val="13"/>
                <w:color w:val="auto"/>
              </w:rPr>
            </w:pPr>
          </w:p>
        </w:tc>
        <w:tc>
          <w:tcPr>
            <w:tcW w:w="2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5,409</w:t>
            </w:r>
          </w:p>
        </w:tc>
        <w:tc>
          <w:tcPr>
            <w:tcW w:w="1320" w:type="dxa"/>
            <w:vAlign w:val="bottom"/>
            <w:shd w:val="clear" w:color="auto" w:fill="E6ECF8"/>
          </w:tcPr>
          <w:p>
            <w:pPr>
              <w:spacing w:after="0"/>
              <w:rPr>
                <w:sz w:val="13"/>
                <w:szCs w:val="13"/>
                <w:color w:val="auto"/>
              </w:rPr>
            </w:pP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4,143</w:t>
            </w:r>
          </w:p>
        </w:tc>
        <w:tc>
          <w:tcPr>
            <w:tcW w:w="0" w:type="dxa"/>
            <w:vAlign w:val="bottom"/>
          </w:tcPr>
          <w:p>
            <w:pPr>
              <w:spacing w:after="0"/>
              <w:rPr>
                <w:sz w:val="1"/>
                <w:szCs w:val="1"/>
                <w:color w:val="auto"/>
              </w:rPr>
            </w:pPr>
          </w:p>
        </w:tc>
      </w:tr>
      <w:tr>
        <w:trPr>
          <w:trHeight w:val="152"/>
        </w:trPr>
        <w:tc>
          <w:tcPr>
            <w:tcW w:w="1500" w:type="dxa"/>
            <w:vAlign w:val="bottom"/>
            <w:shd w:val="clear" w:color="auto" w:fill="D0DBEF"/>
          </w:tcPr>
          <w:p>
            <w:pPr>
              <w:spacing w:after="0"/>
              <w:rPr>
                <w:sz w:val="20"/>
                <w:szCs w:val="20"/>
                <w:color w:val="auto"/>
              </w:rPr>
            </w:pPr>
            <w:r>
              <w:rPr>
                <w:rFonts w:ascii="Arial" w:cs="Arial" w:eastAsia="Arial" w:hAnsi="Arial"/>
                <w:sz w:val="13"/>
                <w:szCs w:val="13"/>
                <w:color w:val="auto"/>
              </w:rPr>
              <w:t>25th Percentile</w:t>
            </w: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17,839</w:t>
            </w:r>
          </w:p>
        </w:tc>
        <w:tc>
          <w:tcPr>
            <w:tcW w:w="1540" w:type="dxa"/>
            <w:vAlign w:val="bottom"/>
            <w:shd w:val="clear" w:color="auto" w:fill="D0DBEF"/>
          </w:tcPr>
          <w:p>
            <w:pPr>
              <w:spacing w:after="0"/>
              <w:rPr>
                <w:sz w:val="13"/>
                <w:szCs w:val="13"/>
                <w:color w:val="auto"/>
              </w:rPr>
            </w:pPr>
          </w:p>
        </w:tc>
        <w:tc>
          <w:tcPr>
            <w:tcW w:w="2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13,689</w:t>
            </w:r>
          </w:p>
        </w:tc>
        <w:tc>
          <w:tcPr>
            <w:tcW w:w="1340" w:type="dxa"/>
            <w:vAlign w:val="bottom"/>
            <w:shd w:val="clear" w:color="auto" w:fill="D0DBEF"/>
          </w:tcPr>
          <w:p>
            <w:pPr>
              <w:spacing w:after="0"/>
              <w:rPr>
                <w:sz w:val="13"/>
                <w:szCs w:val="13"/>
                <w:color w:val="auto"/>
              </w:rPr>
            </w:pPr>
          </w:p>
        </w:tc>
        <w:tc>
          <w:tcPr>
            <w:tcW w:w="2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647</w:t>
            </w:r>
          </w:p>
        </w:tc>
        <w:tc>
          <w:tcPr>
            <w:tcW w:w="1320" w:type="dxa"/>
            <w:vAlign w:val="bottom"/>
            <w:shd w:val="clear" w:color="auto" w:fill="D0DBEF"/>
          </w:tcPr>
          <w:p>
            <w:pPr>
              <w:spacing w:after="0"/>
              <w:rPr>
                <w:sz w:val="13"/>
                <w:szCs w:val="13"/>
                <w:color w:val="auto"/>
              </w:rPr>
            </w:pPr>
          </w:p>
        </w:tc>
        <w:tc>
          <w:tcPr>
            <w:tcW w:w="900" w:type="dxa"/>
            <w:vAlign w:val="bottom"/>
            <w:gridSpan w:val="2"/>
            <w:shd w:val="clear" w:color="auto" w:fill="D0DBEF"/>
          </w:tcPr>
          <w:p>
            <w:pPr>
              <w:jc w:val="right"/>
              <w:ind w:right="140"/>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152"/>
        </w:trPr>
        <w:tc>
          <w:tcPr>
            <w:tcW w:w="1500" w:type="dxa"/>
            <w:vAlign w:val="bottom"/>
            <w:shd w:val="clear" w:color="auto" w:fill="E6ECF8"/>
          </w:tcPr>
          <w:p>
            <w:pPr>
              <w:spacing w:after="0"/>
              <w:rPr>
                <w:sz w:val="20"/>
                <w:szCs w:val="20"/>
                <w:color w:val="auto"/>
              </w:rPr>
            </w:pPr>
            <w:r>
              <w:rPr>
                <w:rFonts w:ascii="Arial" w:cs="Arial" w:eastAsia="Arial" w:hAnsi="Arial"/>
                <w:sz w:val="13"/>
                <w:szCs w:val="13"/>
                <w:color w:val="auto"/>
              </w:rPr>
              <w:t>REGN Percentile Rank</w:t>
            </w:r>
          </w:p>
        </w:tc>
        <w:tc>
          <w:tcPr>
            <w:tcW w:w="280" w:type="dxa"/>
            <w:vAlign w:val="bottom"/>
            <w:shd w:val="clear" w:color="auto" w:fill="E6ECF8"/>
          </w:tcPr>
          <w:p>
            <w:pPr>
              <w:spacing w:after="0"/>
              <w:rPr>
                <w:sz w:val="13"/>
                <w:szCs w:val="13"/>
                <w:color w:val="auto"/>
              </w:rPr>
            </w:pPr>
          </w:p>
        </w:tc>
        <w:tc>
          <w:tcPr>
            <w:tcW w:w="60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50th</w:t>
            </w:r>
          </w:p>
        </w:tc>
        <w:tc>
          <w:tcPr>
            <w:tcW w:w="1540" w:type="dxa"/>
            <w:vAlign w:val="bottom"/>
            <w:shd w:val="clear" w:color="auto" w:fill="E6ECF8"/>
          </w:tcPr>
          <w:p>
            <w:pPr>
              <w:spacing w:after="0"/>
              <w:rPr>
                <w:sz w:val="13"/>
                <w:szCs w:val="13"/>
                <w:color w:val="auto"/>
              </w:rPr>
            </w:pPr>
          </w:p>
        </w:tc>
        <w:tc>
          <w:tcPr>
            <w:tcW w:w="260" w:type="dxa"/>
            <w:vAlign w:val="bottom"/>
            <w:shd w:val="clear" w:color="auto" w:fill="E6ECF8"/>
          </w:tcPr>
          <w:p>
            <w:pPr>
              <w:spacing w:after="0"/>
              <w:rPr>
                <w:sz w:val="13"/>
                <w:szCs w:val="13"/>
                <w:color w:val="auto"/>
              </w:rPr>
            </w:pP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48th</w:t>
            </w:r>
          </w:p>
        </w:tc>
        <w:tc>
          <w:tcPr>
            <w:tcW w:w="1340" w:type="dxa"/>
            <w:vAlign w:val="bottom"/>
            <w:shd w:val="clear" w:color="auto" w:fill="E6ECF8"/>
          </w:tcPr>
          <w:p>
            <w:pPr>
              <w:spacing w:after="0"/>
              <w:rPr>
                <w:sz w:val="13"/>
                <w:szCs w:val="13"/>
                <w:color w:val="auto"/>
              </w:rPr>
            </w:pPr>
          </w:p>
        </w:tc>
        <w:tc>
          <w:tcPr>
            <w:tcW w:w="280" w:type="dxa"/>
            <w:vAlign w:val="bottom"/>
            <w:shd w:val="clear" w:color="auto" w:fill="E6ECF8"/>
          </w:tcPr>
          <w:p>
            <w:pPr>
              <w:spacing w:after="0"/>
              <w:rPr>
                <w:sz w:val="13"/>
                <w:szCs w:val="13"/>
                <w:color w:val="auto"/>
              </w:rPr>
            </w:pPr>
          </w:p>
        </w:tc>
        <w:tc>
          <w:tcPr>
            <w:tcW w:w="54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47th</w:t>
            </w:r>
          </w:p>
        </w:tc>
        <w:tc>
          <w:tcPr>
            <w:tcW w:w="1320" w:type="dxa"/>
            <w:vAlign w:val="bottom"/>
            <w:shd w:val="clear" w:color="auto" w:fill="E6ECF8"/>
          </w:tcPr>
          <w:p>
            <w:pPr>
              <w:spacing w:after="0"/>
              <w:rPr>
                <w:sz w:val="13"/>
                <w:szCs w:val="13"/>
                <w:color w:val="auto"/>
              </w:rPr>
            </w:pPr>
          </w:p>
        </w:tc>
        <w:tc>
          <w:tcPr>
            <w:tcW w:w="900" w:type="dxa"/>
            <w:vAlign w:val="bottom"/>
            <w:gridSpan w:val="2"/>
            <w:shd w:val="clear" w:color="auto" w:fill="E6ECF8"/>
          </w:tcPr>
          <w:p>
            <w:pPr>
              <w:jc w:val="right"/>
              <w:ind w:right="140"/>
              <w:spacing w:after="0"/>
              <w:rPr>
                <w:sz w:val="20"/>
                <w:szCs w:val="20"/>
                <w:color w:val="auto"/>
              </w:rPr>
            </w:pPr>
            <w:r>
              <w:rPr>
                <w:rFonts w:ascii="Arial" w:cs="Arial" w:eastAsia="Arial" w:hAnsi="Arial"/>
                <w:sz w:val="13"/>
                <w:szCs w:val="13"/>
                <w:color w:val="auto"/>
              </w:rPr>
              <w:t>48th</w:t>
            </w:r>
          </w:p>
        </w:tc>
        <w:tc>
          <w:tcPr>
            <w:tcW w:w="0" w:type="dxa"/>
            <w:vAlign w:val="bottom"/>
          </w:tcPr>
          <w:p>
            <w:pPr>
              <w:spacing w:after="0"/>
              <w:rPr>
                <w:sz w:val="1"/>
                <w:szCs w:val="1"/>
                <w:color w:val="auto"/>
              </w:rPr>
            </w:pPr>
          </w:p>
        </w:tc>
      </w:tr>
      <w:tr>
        <w:trPr>
          <w:trHeight w:val="20"/>
        </w:trPr>
        <w:tc>
          <w:tcPr>
            <w:tcW w:w="1500" w:type="dxa"/>
            <w:vAlign w:val="bottom"/>
            <w:shd w:val="clear" w:color="auto" w:fill="5668B0"/>
          </w:tcPr>
          <w:p>
            <w:pPr>
              <w:spacing w:after="0" w:line="20" w:lineRule="exact"/>
              <w:rPr>
                <w:sz w:val="1"/>
                <w:szCs w:val="1"/>
                <w:color w:val="auto"/>
              </w:rPr>
            </w:pPr>
          </w:p>
        </w:tc>
        <w:tc>
          <w:tcPr>
            <w:tcW w:w="280" w:type="dxa"/>
            <w:vAlign w:val="bottom"/>
            <w:shd w:val="clear" w:color="auto" w:fill="5668B0"/>
          </w:tcPr>
          <w:p>
            <w:pPr>
              <w:spacing w:after="0" w:line="20" w:lineRule="exact"/>
              <w:rPr>
                <w:sz w:val="1"/>
                <w:szCs w:val="1"/>
                <w:color w:val="auto"/>
              </w:rPr>
            </w:pPr>
          </w:p>
        </w:tc>
        <w:tc>
          <w:tcPr>
            <w:tcW w:w="600" w:type="dxa"/>
            <w:vAlign w:val="bottom"/>
            <w:shd w:val="clear" w:color="auto" w:fill="5668B0"/>
          </w:tcPr>
          <w:p>
            <w:pPr>
              <w:spacing w:after="0" w:line="20" w:lineRule="exact"/>
              <w:rPr>
                <w:sz w:val="1"/>
                <w:szCs w:val="1"/>
                <w:color w:val="auto"/>
              </w:rPr>
            </w:pPr>
          </w:p>
        </w:tc>
        <w:tc>
          <w:tcPr>
            <w:tcW w:w="1540" w:type="dxa"/>
            <w:vAlign w:val="bottom"/>
            <w:shd w:val="clear" w:color="auto" w:fill="5668B0"/>
          </w:tcPr>
          <w:p>
            <w:pPr>
              <w:spacing w:after="0" w:line="20" w:lineRule="exact"/>
              <w:rPr>
                <w:sz w:val="1"/>
                <w:szCs w:val="1"/>
                <w:color w:val="auto"/>
              </w:rPr>
            </w:pPr>
          </w:p>
        </w:tc>
        <w:tc>
          <w:tcPr>
            <w:tcW w:w="260" w:type="dxa"/>
            <w:vAlign w:val="bottom"/>
            <w:shd w:val="clear" w:color="auto" w:fill="5668B0"/>
          </w:tcPr>
          <w:p>
            <w:pPr>
              <w:spacing w:after="0" w:line="20" w:lineRule="exact"/>
              <w:rPr>
                <w:sz w:val="1"/>
                <w:szCs w:val="1"/>
                <w:color w:val="auto"/>
              </w:rPr>
            </w:pPr>
          </w:p>
        </w:tc>
        <w:tc>
          <w:tcPr>
            <w:tcW w:w="680" w:type="dxa"/>
            <w:vAlign w:val="bottom"/>
            <w:shd w:val="clear" w:color="auto" w:fill="5668B0"/>
          </w:tcPr>
          <w:p>
            <w:pPr>
              <w:spacing w:after="0" w:line="20" w:lineRule="exact"/>
              <w:rPr>
                <w:sz w:val="1"/>
                <w:szCs w:val="1"/>
                <w:color w:val="auto"/>
              </w:rPr>
            </w:pPr>
          </w:p>
        </w:tc>
        <w:tc>
          <w:tcPr>
            <w:tcW w:w="1340" w:type="dxa"/>
            <w:vAlign w:val="bottom"/>
            <w:shd w:val="clear" w:color="auto" w:fill="5668B0"/>
          </w:tcPr>
          <w:p>
            <w:pPr>
              <w:spacing w:after="0" w:line="20" w:lineRule="exact"/>
              <w:rPr>
                <w:sz w:val="1"/>
                <w:szCs w:val="1"/>
                <w:color w:val="auto"/>
              </w:rPr>
            </w:pPr>
          </w:p>
        </w:tc>
        <w:tc>
          <w:tcPr>
            <w:tcW w:w="280" w:type="dxa"/>
            <w:vAlign w:val="bottom"/>
            <w:shd w:val="clear" w:color="auto" w:fill="5668B0"/>
          </w:tcPr>
          <w:p>
            <w:pPr>
              <w:spacing w:after="0" w:line="20" w:lineRule="exact"/>
              <w:rPr>
                <w:sz w:val="1"/>
                <w:szCs w:val="1"/>
                <w:color w:val="auto"/>
              </w:rPr>
            </w:pPr>
          </w:p>
        </w:tc>
        <w:tc>
          <w:tcPr>
            <w:tcW w:w="540" w:type="dxa"/>
            <w:vAlign w:val="bottom"/>
            <w:shd w:val="clear" w:color="auto" w:fill="5668B0"/>
          </w:tcPr>
          <w:p>
            <w:pPr>
              <w:spacing w:after="0" w:line="20" w:lineRule="exact"/>
              <w:rPr>
                <w:sz w:val="1"/>
                <w:szCs w:val="1"/>
                <w:color w:val="auto"/>
              </w:rPr>
            </w:pPr>
          </w:p>
        </w:tc>
        <w:tc>
          <w:tcPr>
            <w:tcW w:w="1320" w:type="dxa"/>
            <w:vAlign w:val="bottom"/>
            <w:shd w:val="clear" w:color="auto" w:fill="5668B0"/>
          </w:tcPr>
          <w:p>
            <w:pPr>
              <w:spacing w:after="0" w:line="20" w:lineRule="exact"/>
              <w:rPr>
                <w:sz w:val="1"/>
                <w:szCs w:val="1"/>
                <w:color w:val="auto"/>
              </w:rPr>
            </w:pPr>
          </w:p>
        </w:tc>
        <w:tc>
          <w:tcPr>
            <w:tcW w:w="760" w:type="dxa"/>
            <w:vAlign w:val="bottom"/>
            <w:shd w:val="clear" w:color="auto" w:fill="5668B0"/>
          </w:tcPr>
          <w:p>
            <w:pPr>
              <w:spacing w:after="0" w:line="20" w:lineRule="exact"/>
              <w:rPr>
                <w:sz w:val="1"/>
                <w:szCs w:val="1"/>
                <w:color w:val="auto"/>
              </w:rPr>
            </w:pPr>
          </w:p>
        </w:tc>
        <w:tc>
          <w:tcPr>
            <w:tcW w:w="140" w:type="dxa"/>
            <w:vAlign w:val="bottom"/>
            <w:shd w:val="clear" w:color="auto" w:fill="E6ECF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-1959610</wp:posOffset>
            </wp:positionV>
            <wp:extent cx="29889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Source: Standard &amp; Poor's Compustat.</w:t>
      </w:r>
    </w:p>
    <w:p>
      <w:pPr>
        <w:spacing w:after="0" w:line="137" w:lineRule="exact"/>
        <w:rPr>
          <w:sz w:val="20"/>
          <w:szCs w:val="20"/>
          <w:color w:val="auto"/>
        </w:rPr>
      </w:pPr>
    </w:p>
    <w:p>
      <w:pPr>
        <w:ind w:left="1640" w:hanging="496"/>
        <w:spacing w:after="0"/>
        <w:tabs>
          <w:tab w:leader="none" w:pos="1640" w:val="left"/>
        </w:tabs>
        <w:numPr>
          <w:ilvl w:val="0"/>
          <w:numId w:val="7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Based on information reported in the companies' most recent Annual Reports on Form 10-K available in September 2015.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utilized in 2015 (approved by the Compensation Committee in September 2015 as noted above) consists of the following 14 companies: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00" w:type="dxa"/>
            <w:vAlign w:val="bottom"/>
            <w:tcBorders>
              <w:top w:val="single" w:sz="8" w:color="5668B0"/>
            </w:tcBorders>
            <w:shd w:val="clear" w:color="auto" w:fill="E6ECF8"/>
          </w:tcPr>
          <w:p>
            <w:pPr>
              <w:spacing w:after="0"/>
              <w:rPr>
                <w:sz w:val="20"/>
                <w:szCs w:val="20"/>
                <w:color w:val="auto"/>
              </w:rPr>
            </w:pPr>
            <w:r>
              <w:rPr>
                <w:rFonts w:ascii="Arial" w:cs="Arial" w:eastAsia="Arial" w:hAnsi="Arial"/>
                <w:sz w:val="16"/>
                <w:szCs w:val="16"/>
                <w:color w:val="auto"/>
              </w:rPr>
              <w:t>AbbVie Inc.</w:t>
            </w:r>
          </w:p>
        </w:tc>
        <w:tc>
          <w:tcPr>
            <w:tcW w:w="3920" w:type="dxa"/>
            <w:vAlign w:val="bottom"/>
            <w:tcBorders>
              <w:top w:val="single" w:sz="8" w:color="5668B0"/>
            </w:tcBorders>
            <w:shd w:val="clear" w:color="auto" w:fill="E6ECF8"/>
          </w:tcPr>
          <w:p>
            <w:pPr>
              <w:ind w:left="760"/>
              <w:spacing w:after="0" w:line="240" w:lineRule="exact"/>
              <w:rPr>
                <w:sz w:val="20"/>
                <w:szCs w:val="20"/>
                <w:color w:val="auto"/>
              </w:rPr>
            </w:pPr>
            <w:r>
              <w:rPr>
                <w:rFonts w:ascii="Arial" w:cs="Arial" w:eastAsia="Arial" w:hAnsi="Arial"/>
                <w:sz w:val="16"/>
                <w:szCs w:val="16"/>
                <w:color w:val="auto"/>
              </w:rPr>
              <w:t xml:space="preserve">Biogen Inc. </w:t>
            </w:r>
            <w:r>
              <w:rPr>
                <w:rFonts w:ascii="Arial" w:cs="Arial" w:eastAsia="Arial" w:hAnsi="Arial"/>
                <w:sz w:val="27"/>
                <w:szCs w:val="27"/>
                <w:color w:val="5668B0"/>
                <w:vertAlign w:val="superscript"/>
              </w:rPr>
              <w:t>*</w:t>
            </w:r>
          </w:p>
        </w:tc>
        <w:tc>
          <w:tcPr>
            <w:tcW w:w="4200" w:type="dxa"/>
            <w:vAlign w:val="bottom"/>
            <w:tcBorders>
              <w:top w:val="single" w:sz="8" w:color="5668B0"/>
            </w:tcBorders>
            <w:shd w:val="clear" w:color="auto" w:fill="E6ECF8"/>
          </w:tcPr>
          <w:p>
            <w:pPr>
              <w:ind w:left="900"/>
              <w:spacing w:after="0" w:line="240" w:lineRule="exact"/>
              <w:rPr>
                <w:sz w:val="20"/>
                <w:szCs w:val="20"/>
                <w:color w:val="auto"/>
              </w:rPr>
            </w:pPr>
            <w:r>
              <w:rPr>
                <w:rFonts w:ascii="Arial" w:cs="Arial" w:eastAsia="Arial" w:hAnsi="Arial"/>
                <w:sz w:val="16"/>
                <w:szCs w:val="16"/>
                <w:color w:val="auto"/>
              </w:rPr>
              <w:t xml:space="preserve">Gilead Sciences, Inc. </w:t>
            </w:r>
            <w:r>
              <w:rPr>
                <w:rFonts w:ascii="Arial" w:cs="Arial" w:eastAsia="Arial" w:hAnsi="Arial"/>
                <w:sz w:val="27"/>
                <w:szCs w:val="27"/>
                <w:color w:val="5668B0"/>
                <w:vertAlign w:val="superscript"/>
              </w:rPr>
              <w:t>*</w:t>
            </w:r>
          </w:p>
        </w:tc>
      </w:tr>
      <w:tr>
        <w:trPr>
          <w:trHeight w:val="228"/>
        </w:trPr>
        <w:tc>
          <w:tcPr>
            <w:tcW w:w="3300" w:type="dxa"/>
            <w:vAlign w:val="bottom"/>
            <w:shd w:val="clear" w:color="auto" w:fill="D0DBEF"/>
          </w:tcPr>
          <w:p>
            <w:pPr>
              <w:spacing w:after="0" w:line="227" w:lineRule="exact"/>
              <w:rPr>
                <w:sz w:val="20"/>
                <w:szCs w:val="20"/>
                <w:color w:val="auto"/>
              </w:rPr>
            </w:pPr>
            <w:r>
              <w:rPr>
                <w:rFonts w:ascii="Arial" w:cs="Arial" w:eastAsia="Arial" w:hAnsi="Arial"/>
                <w:sz w:val="16"/>
                <w:szCs w:val="16"/>
                <w:color w:val="auto"/>
              </w:rPr>
              <w:t xml:space="preserve">Alexion Pharmaceuticals, Inc. </w:t>
            </w:r>
            <w:r>
              <w:rPr>
                <w:rFonts w:ascii="Arial" w:cs="Arial" w:eastAsia="Arial" w:hAnsi="Arial"/>
                <w:sz w:val="26"/>
                <w:szCs w:val="26"/>
                <w:color w:val="5668B0"/>
                <w:vertAlign w:val="superscript"/>
              </w:rPr>
              <w:t>*</w:t>
            </w:r>
          </w:p>
        </w:tc>
        <w:tc>
          <w:tcPr>
            <w:tcW w:w="3920" w:type="dxa"/>
            <w:vAlign w:val="bottom"/>
            <w:shd w:val="clear" w:color="auto" w:fill="D0DBEF"/>
          </w:tcPr>
          <w:p>
            <w:pPr>
              <w:ind w:left="760"/>
              <w:spacing w:after="0" w:line="227" w:lineRule="exact"/>
              <w:rPr>
                <w:sz w:val="20"/>
                <w:szCs w:val="20"/>
                <w:color w:val="auto"/>
              </w:rPr>
            </w:pPr>
            <w:r>
              <w:rPr>
                <w:rFonts w:ascii="Arial" w:cs="Arial" w:eastAsia="Arial" w:hAnsi="Arial"/>
                <w:sz w:val="16"/>
                <w:szCs w:val="16"/>
                <w:color w:val="auto"/>
              </w:rPr>
              <w:t xml:space="preserve">BioMarin Pharmaceutical Inc. </w:t>
            </w:r>
            <w:r>
              <w:rPr>
                <w:rFonts w:ascii="Arial" w:cs="Arial" w:eastAsia="Arial" w:hAnsi="Arial"/>
                <w:sz w:val="26"/>
                <w:szCs w:val="26"/>
                <w:color w:val="5668B0"/>
                <w:vertAlign w:val="superscript"/>
              </w:rPr>
              <w:t>*</w:t>
            </w:r>
          </w:p>
        </w:tc>
        <w:tc>
          <w:tcPr>
            <w:tcW w:w="4200" w:type="dxa"/>
            <w:vAlign w:val="bottom"/>
            <w:shd w:val="clear" w:color="auto" w:fill="D0DBEF"/>
          </w:tcPr>
          <w:p>
            <w:pPr>
              <w:ind w:left="900"/>
              <w:spacing w:after="0" w:line="227" w:lineRule="exact"/>
              <w:rPr>
                <w:sz w:val="20"/>
                <w:szCs w:val="20"/>
                <w:color w:val="auto"/>
              </w:rPr>
            </w:pPr>
            <w:r>
              <w:rPr>
                <w:rFonts w:ascii="Arial" w:cs="Arial" w:eastAsia="Arial" w:hAnsi="Arial"/>
                <w:sz w:val="16"/>
                <w:szCs w:val="16"/>
                <w:color w:val="auto"/>
              </w:rPr>
              <w:t xml:space="preserve">Incyte Corporation </w:t>
            </w:r>
            <w:r>
              <w:rPr>
                <w:rFonts w:ascii="Arial" w:cs="Arial" w:eastAsia="Arial" w:hAnsi="Arial"/>
                <w:sz w:val="26"/>
                <w:szCs w:val="26"/>
                <w:color w:val="5668B0"/>
                <w:vertAlign w:val="superscript"/>
              </w:rPr>
              <w:t>*</w:t>
            </w:r>
          </w:p>
        </w:tc>
      </w:tr>
      <w:tr>
        <w:trPr>
          <w:trHeight w:val="228"/>
        </w:trPr>
        <w:tc>
          <w:tcPr>
            <w:tcW w:w="3300" w:type="dxa"/>
            <w:vAlign w:val="bottom"/>
            <w:shd w:val="clear" w:color="auto" w:fill="E6ECF8"/>
          </w:tcPr>
          <w:p>
            <w:pPr>
              <w:spacing w:after="0" w:line="227" w:lineRule="exact"/>
              <w:rPr>
                <w:sz w:val="20"/>
                <w:szCs w:val="20"/>
                <w:color w:val="auto"/>
              </w:rPr>
            </w:pPr>
            <w:r>
              <w:rPr>
                <w:rFonts w:ascii="Arial" w:cs="Arial" w:eastAsia="Arial" w:hAnsi="Arial"/>
                <w:sz w:val="16"/>
                <w:szCs w:val="16"/>
                <w:color w:val="auto"/>
              </w:rPr>
              <w:t xml:space="preserve">Alkermes plc </w:t>
            </w:r>
            <w:r>
              <w:rPr>
                <w:rFonts w:ascii="Arial" w:cs="Arial" w:eastAsia="Arial" w:hAnsi="Arial"/>
                <w:sz w:val="26"/>
                <w:szCs w:val="26"/>
                <w:color w:val="5668B0"/>
                <w:vertAlign w:val="superscript"/>
              </w:rPr>
              <w:t>*</w:t>
            </w:r>
          </w:p>
        </w:tc>
        <w:tc>
          <w:tcPr>
            <w:tcW w:w="3920" w:type="dxa"/>
            <w:vAlign w:val="bottom"/>
            <w:shd w:val="clear" w:color="auto" w:fill="E6ECF8"/>
          </w:tcPr>
          <w:p>
            <w:pPr>
              <w:ind w:left="760"/>
              <w:spacing w:after="0"/>
              <w:rPr>
                <w:sz w:val="20"/>
                <w:szCs w:val="20"/>
                <w:color w:val="auto"/>
              </w:rPr>
            </w:pPr>
            <w:r>
              <w:rPr>
                <w:rFonts w:ascii="Arial" w:cs="Arial" w:eastAsia="Arial" w:hAnsi="Arial"/>
                <w:sz w:val="16"/>
                <w:szCs w:val="16"/>
                <w:color w:val="auto"/>
              </w:rPr>
              <w:t>Bristol-Myers Squibb Company</w:t>
            </w:r>
          </w:p>
        </w:tc>
        <w:tc>
          <w:tcPr>
            <w:tcW w:w="4200" w:type="dxa"/>
            <w:vAlign w:val="bottom"/>
            <w:shd w:val="clear" w:color="auto" w:fill="E6ECF8"/>
          </w:tcPr>
          <w:p>
            <w:pPr>
              <w:ind w:left="900"/>
              <w:spacing w:after="0" w:line="227" w:lineRule="exact"/>
              <w:rPr>
                <w:sz w:val="20"/>
                <w:szCs w:val="20"/>
                <w:color w:val="auto"/>
              </w:rPr>
            </w:pPr>
            <w:r>
              <w:rPr>
                <w:rFonts w:ascii="Arial" w:cs="Arial" w:eastAsia="Arial" w:hAnsi="Arial"/>
                <w:sz w:val="16"/>
                <w:szCs w:val="16"/>
                <w:color w:val="auto"/>
              </w:rPr>
              <w:t xml:space="preserve">United Therapeutics Corporation </w:t>
            </w:r>
            <w:r>
              <w:rPr>
                <w:rFonts w:ascii="Arial" w:cs="Arial" w:eastAsia="Arial" w:hAnsi="Arial"/>
                <w:sz w:val="26"/>
                <w:szCs w:val="26"/>
                <w:color w:val="5668B0"/>
                <w:vertAlign w:val="superscript"/>
              </w:rPr>
              <w:t>*</w:t>
            </w:r>
          </w:p>
        </w:tc>
      </w:tr>
      <w:tr>
        <w:trPr>
          <w:trHeight w:val="228"/>
        </w:trPr>
        <w:tc>
          <w:tcPr>
            <w:tcW w:w="3300" w:type="dxa"/>
            <w:vAlign w:val="bottom"/>
            <w:shd w:val="clear" w:color="auto" w:fill="D0DBEF"/>
          </w:tcPr>
          <w:p>
            <w:pPr>
              <w:spacing w:after="0" w:line="227" w:lineRule="exact"/>
              <w:rPr>
                <w:sz w:val="20"/>
                <w:szCs w:val="20"/>
                <w:color w:val="auto"/>
              </w:rPr>
            </w:pPr>
            <w:r>
              <w:rPr>
                <w:rFonts w:ascii="Arial" w:cs="Arial" w:eastAsia="Arial" w:hAnsi="Arial"/>
                <w:sz w:val="16"/>
                <w:szCs w:val="16"/>
                <w:color w:val="auto"/>
              </w:rPr>
              <w:t xml:space="preserve">Alnylam Pharmaceuticals, Inc. </w:t>
            </w:r>
            <w:r>
              <w:rPr>
                <w:rFonts w:ascii="Arial" w:cs="Arial" w:eastAsia="Arial" w:hAnsi="Arial"/>
                <w:sz w:val="26"/>
                <w:szCs w:val="26"/>
                <w:color w:val="5668B0"/>
                <w:vertAlign w:val="superscript"/>
              </w:rPr>
              <w:t>*</w:t>
            </w:r>
          </w:p>
        </w:tc>
        <w:tc>
          <w:tcPr>
            <w:tcW w:w="3920" w:type="dxa"/>
            <w:vAlign w:val="bottom"/>
            <w:shd w:val="clear" w:color="auto" w:fill="D0DBEF"/>
          </w:tcPr>
          <w:p>
            <w:pPr>
              <w:ind w:left="760"/>
              <w:spacing w:after="0" w:line="227" w:lineRule="exact"/>
              <w:rPr>
                <w:sz w:val="20"/>
                <w:szCs w:val="20"/>
                <w:color w:val="auto"/>
              </w:rPr>
            </w:pPr>
            <w:r>
              <w:rPr>
                <w:rFonts w:ascii="Arial" w:cs="Arial" w:eastAsia="Arial" w:hAnsi="Arial"/>
                <w:sz w:val="16"/>
                <w:szCs w:val="16"/>
                <w:color w:val="auto"/>
              </w:rPr>
              <w:t xml:space="preserve">Celgene Corporation </w:t>
            </w:r>
            <w:r>
              <w:rPr>
                <w:rFonts w:ascii="Arial" w:cs="Arial" w:eastAsia="Arial" w:hAnsi="Arial"/>
                <w:sz w:val="26"/>
                <w:szCs w:val="26"/>
                <w:color w:val="5668B0"/>
                <w:vertAlign w:val="superscript"/>
              </w:rPr>
              <w:t>*</w:t>
            </w:r>
          </w:p>
        </w:tc>
        <w:tc>
          <w:tcPr>
            <w:tcW w:w="4200" w:type="dxa"/>
            <w:vAlign w:val="bottom"/>
            <w:shd w:val="clear" w:color="auto" w:fill="D0DBEF"/>
          </w:tcPr>
          <w:p>
            <w:pPr>
              <w:ind w:left="900"/>
              <w:spacing w:after="0" w:line="227" w:lineRule="exact"/>
              <w:rPr>
                <w:sz w:val="20"/>
                <w:szCs w:val="20"/>
                <w:color w:val="auto"/>
              </w:rPr>
            </w:pPr>
            <w:r>
              <w:rPr>
                <w:rFonts w:ascii="Arial" w:cs="Arial" w:eastAsia="Arial" w:hAnsi="Arial"/>
                <w:sz w:val="16"/>
                <w:szCs w:val="16"/>
                <w:color w:val="auto"/>
              </w:rPr>
              <w:t xml:space="preserve">Vertex Pharmaceuticals, Inc. </w:t>
            </w:r>
            <w:r>
              <w:rPr>
                <w:rFonts w:ascii="Arial" w:cs="Arial" w:eastAsia="Arial" w:hAnsi="Arial"/>
                <w:sz w:val="26"/>
                <w:szCs w:val="26"/>
                <w:color w:val="5668B0"/>
                <w:vertAlign w:val="superscript"/>
              </w:rPr>
              <w:t>*</w:t>
            </w:r>
          </w:p>
        </w:tc>
      </w:tr>
      <w:tr>
        <w:trPr>
          <w:trHeight w:val="190"/>
        </w:trPr>
        <w:tc>
          <w:tcPr>
            <w:tcW w:w="3300" w:type="dxa"/>
            <w:vAlign w:val="bottom"/>
            <w:tcBorders>
              <w:bottom w:val="single" w:sz="8" w:color="5668B0"/>
            </w:tcBorders>
            <w:shd w:val="clear" w:color="auto" w:fill="E6ECF8"/>
          </w:tcPr>
          <w:p>
            <w:pPr>
              <w:spacing w:after="0"/>
              <w:rPr>
                <w:sz w:val="20"/>
                <w:szCs w:val="20"/>
                <w:color w:val="auto"/>
              </w:rPr>
            </w:pPr>
            <w:r>
              <w:rPr>
                <w:rFonts w:ascii="Arial" w:cs="Arial" w:eastAsia="Arial" w:hAnsi="Arial"/>
                <w:sz w:val="16"/>
                <w:szCs w:val="16"/>
                <w:color w:val="auto"/>
              </w:rPr>
              <w:t>Amgen Inc.</w:t>
            </w:r>
          </w:p>
        </w:tc>
        <w:tc>
          <w:tcPr>
            <w:tcW w:w="3920" w:type="dxa"/>
            <w:vAlign w:val="bottom"/>
            <w:tcBorders>
              <w:bottom w:val="single" w:sz="8" w:color="5668B0"/>
            </w:tcBorders>
            <w:shd w:val="clear" w:color="auto" w:fill="E6ECF8"/>
          </w:tcPr>
          <w:p>
            <w:pPr>
              <w:ind w:left="760"/>
              <w:spacing w:after="0"/>
              <w:rPr>
                <w:sz w:val="20"/>
                <w:szCs w:val="20"/>
                <w:color w:val="auto"/>
              </w:rPr>
            </w:pPr>
            <w:r>
              <w:rPr>
                <w:rFonts w:ascii="Arial" w:cs="Arial" w:eastAsia="Arial" w:hAnsi="Arial"/>
                <w:sz w:val="16"/>
                <w:szCs w:val="16"/>
                <w:color w:val="auto"/>
              </w:rPr>
              <w:t>Eli Lilly and Company</w:t>
            </w:r>
          </w:p>
        </w:tc>
        <w:tc>
          <w:tcPr>
            <w:tcW w:w="4200" w:type="dxa"/>
            <w:vAlign w:val="bottom"/>
            <w:tcBorders>
              <w:bottom w:val="single" w:sz="8" w:color="5668B0"/>
            </w:tcBorders>
            <w:shd w:val="clear" w:color="auto" w:fill="E6ECF8"/>
          </w:tcPr>
          <w:p>
            <w:pPr>
              <w:spacing w:after="0"/>
              <w:rPr>
                <w:sz w:val="16"/>
                <w:szCs w:val="16"/>
                <w:color w:val="auto"/>
              </w:rPr>
            </w:pPr>
          </w:p>
        </w:tc>
      </w:tr>
    </w:tbl>
    <w:p>
      <w:pPr>
        <w:spacing w:after="0" w:line="139" w:lineRule="exact"/>
        <w:rPr>
          <w:sz w:val="20"/>
          <w:szCs w:val="20"/>
          <w:color w:val="auto"/>
        </w:rPr>
      </w:pPr>
    </w:p>
    <w:p>
      <w:pPr>
        <w:ind w:left="500" w:hanging="499"/>
        <w:spacing w:after="0"/>
        <w:tabs>
          <w:tab w:leader="none" w:pos="500" w:val="left"/>
        </w:tabs>
        <w:numPr>
          <w:ilvl w:val="0"/>
          <w:numId w:val="80"/>
        </w:numPr>
        <w:rPr>
          <w:rFonts w:ascii="Arial" w:cs="Arial" w:eastAsia="Arial" w:hAnsi="Arial"/>
          <w:sz w:val="20"/>
          <w:szCs w:val="20"/>
          <w:b w:val="1"/>
          <w:bCs w:val="1"/>
          <w:color w:val="5668B0"/>
          <w:vertAlign w:val="superscript"/>
        </w:rPr>
      </w:pPr>
      <w:r>
        <w:rPr>
          <w:rFonts w:ascii="Arial" w:cs="Arial" w:eastAsia="Arial" w:hAnsi="Arial"/>
          <w:sz w:val="13"/>
          <w:szCs w:val="13"/>
          <w:color w:val="auto"/>
        </w:rPr>
        <w:t>Regeneron's Biotech R&amp;D Peer.</w:t>
      </w:r>
    </w:p>
    <w:p>
      <w:pPr>
        <w:sectPr>
          <w:pgSz w:w="11900" w:h="16838" w:orient="portrait"/>
          <w:cols w:equalWidth="0" w:num="1">
            <w:col w:w="11420"/>
          </w:cols>
          <w:pgMar w:left="240" w:top="142" w:right="239" w:bottom="1440" w:gutter="0" w:footer="0" w:header="0"/>
        </w:sectPr>
      </w:pPr>
    </w:p>
    <w:p>
      <w:pPr>
        <w:spacing w:after="0" w:line="3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making its compensation decisions in December 2015, the Compensation Committee used data from publicly filed proxy statements of the companies in the Peer Group (as compiled by its compensation consultant) to review each element of compensation of our Named Officers against their peers in the Peer Group as well as their total annual compensation in relation to the Peer Group, while taking into account various factors such as the executive's performance, past compensation history, experience, and the role in the Company's success. We use Peer Group data as a point of reference for measurement, but Peer Group data do not represent the only factor considered and there is no targeted pay level percentile. Further, in its review of the Peer Group data, the Compensation Committee also considers the practices of the 10-company sub-group of peers viewed as having businesses and drug discovery cultures that are most similar to Regeneron's, with similarly-sized employee bases (marked with an asterisk</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table above and referred to as "Biotech R&amp;D Peers"). The Compensation Committee retains discretion in determining the nature and extent of the use of Peer Group data. In addition, in 2015 management and the Compensation Committee reviewed compensation data for biotechnology companies from the 2015 Radford Global Life Sciences Survey (comprising U.S. public biotechnology and pharmaceutical companies that have between 800 and 15,000 employees) to obtain a general understanding of current compensation practices and to assess overall competitiveness of our compensation program.</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Compensation Consultant Independence</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accordance with applicable listing standards of the NASDAQ Stock Market LLC and SEC rules, the Compensation Committee evaluated in 2015 the independence of Frederic W. Cook &amp; Co.,</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including by taking into consideration the following factors:</w:t>
      </w:r>
    </w:p>
    <w:p>
      <w:pPr>
        <w:spacing w:after="0" w:line="208" w:lineRule="exact"/>
        <w:rPr>
          <w:sz w:val="20"/>
          <w:szCs w:val="20"/>
          <w:color w:val="auto"/>
        </w:rPr>
      </w:pPr>
    </w:p>
    <w:p>
      <w:pPr>
        <w:ind w:left="500" w:right="20" w:hanging="499"/>
        <w:spacing w:after="0" w:line="264" w:lineRule="auto"/>
        <w:tabs>
          <w:tab w:leader="none" w:pos="500" w:val="left"/>
        </w:tabs>
        <w:numPr>
          <w:ilvl w:val="0"/>
          <w:numId w:val="81"/>
        </w:numPr>
        <w:rPr>
          <w:rFonts w:ascii="Arial" w:cs="Arial" w:eastAsia="Arial" w:hAnsi="Arial"/>
          <w:sz w:val="16"/>
          <w:szCs w:val="16"/>
          <w:color w:val="5668B0"/>
        </w:rPr>
      </w:pPr>
      <w:r>
        <w:rPr>
          <w:rFonts w:ascii="Arial" w:cs="Arial" w:eastAsia="Arial" w:hAnsi="Arial"/>
          <w:sz w:val="16"/>
          <w:szCs w:val="16"/>
          <w:color w:val="auto"/>
        </w:rPr>
        <w:t>the fact that Frederic W. Cook &amp; Co. did not provide any other services to the Company;</w:t>
      </w:r>
    </w:p>
    <w:p>
      <w:pPr>
        <w:spacing w:after="0" w:line="177" w:lineRule="exact"/>
        <w:rPr>
          <w:rFonts w:ascii="Arial" w:cs="Arial" w:eastAsia="Arial" w:hAnsi="Arial"/>
          <w:sz w:val="16"/>
          <w:szCs w:val="16"/>
          <w:color w:val="5668B0"/>
        </w:rPr>
      </w:pPr>
    </w:p>
    <w:p>
      <w:pPr>
        <w:ind w:left="500" w:hanging="499"/>
        <w:spacing w:after="0" w:line="264" w:lineRule="auto"/>
        <w:tabs>
          <w:tab w:leader="none" w:pos="500" w:val="left"/>
        </w:tabs>
        <w:numPr>
          <w:ilvl w:val="0"/>
          <w:numId w:val="81"/>
        </w:numPr>
        <w:rPr>
          <w:rFonts w:ascii="Arial" w:cs="Arial" w:eastAsia="Arial" w:hAnsi="Arial"/>
          <w:sz w:val="16"/>
          <w:szCs w:val="16"/>
          <w:color w:val="5668B0"/>
        </w:rPr>
      </w:pPr>
      <w:r>
        <w:rPr>
          <w:rFonts w:ascii="Arial" w:cs="Arial" w:eastAsia="Arial" w:hAnsi="Arial"/>
          <w:sz w:val="16"/>
          <w:szCs w:val="16"/>
          <w:color w:val="auto"/>
        </w:rPr>
        <w:t>the amount of fees received from the Company by Frederic W. Cook &amp; Co. as a percentage of its revenue;</w:t>
      </w:r>
    </w:p>
    <w:p>
      <w:pPr>
        <w:spacing w:after="0" w:line="164" w:lineRule="exact"/>
        <w:rPr>
          <w:rFonts w:ascii="Arial" w:cs="Arial" w:eastAsia="Arial" w:hAnsi="Arial"/>
          <w:sz w:val="16"/>
          <w:szCs w:val="16"/>
          <w:color w:val="5668B0"/>
        </w:rPr>
      </w:pPr>
    </w:p>
    <w:p>
      <w:pPr>
        <w:ind w:left="500" w:hanging="499"/>
        <w:spacing w:after="0" w:line="264" w:lineRule="auto"/>
        <w:tabs>
          <w:tab w:leader="none" w:pos="500" w:val="left"/>
        </w:tabs>
        <w:numPr>
          <w:ilvl w:val="0"/>
          <w:numId w:val="81"/>
        </w:numPr>
        <w:rPr>
          <w:rFonts w:ascii="Arial" w:cs="Arial" w:eastAsia="Arial" w:hAnsi="Arial"/>
          <w:sz w:val="16"/>
          <w:szCs w:val="16"/>
          <w:color w:val="5668B0"/>
        </w:rPr>
      </w:pPr>
      <w:r>
        <w:rPr>
          <w:rFonts w:ascii="Arial" w:cs="Arial" w:eastAsia="Arial" w:hAnsi="Arial"/>
          <w:sz w:val="16"/>
          <w:szCs w:val="16"/>
          <w:color w:val="auto"/>
        </w:rPr>
        <w:t>the policies and procedures of Frederic W. Cook &amp; Co. designed to prevent conflicts of interest;</w:t>
      </w:r>
    </w:p>
    <w:p>
      <w:pPr>
        <w:spacing w:after="0" w:line="164" w:lineRule="exact"/>
        <w:rPr>
          <w:rFonts w:ascii="Arial" w:cs="Arial" w:eastAsia="Arial" w:hAnsi="Arial"/>
          <w:sz w:val="16"/>
          <w:szCs w:val="16"/>
          <w:color w:val="5668B0"/>
        </w:rPr>
      </w:pPr>
    </w:p>
    <w:p>
      <w:pPr>
        <w:jc w:val="both"/>
        <w:ind w:left="500" w:right="20" w:hanging="499"/>
        <w:spacing w:after="0" w:line="255" w:lineRule="auto"/>
        <w:tabs>
          <w:tab w:leader="none" w:pos="500" w:val="left"/>
        </w:tabs>
        <w:numPr>
          <w:ilvl w:val="0"/>
          <w:numId w:val="81"/>
        </w:numPr>
        <w:rPr>
          <w:rFonts w:ascii="Arial" w:cs="Arial" w:eastAsia="Arial" w:hAnsi="Arial"/>
          <w:sz w:val="16"/>
          <w:szCs w:val="16"/>
          <w:color w:val="5668B0"/>
        </w:rPr>
      </w:pPr>
      <w:r>
        <w:rPr>
          <w:rFonts w:ascii="Arial" w:cs="Arial" w:eastAsia="Arial" w:hAnsi="Arial"/>
          <w:sz w:val="16"/>
          <w:szCs w:val="16"/>
          <w:color w:val="auto"/>
        </w:rPr>
        <w:t>the absence of any significant business or personal relationship between Frederic W. Cook &amp; Co. and any member of the Compensation Committee;</w:t>
      </w:r>
    </w:p>
    <w:p>
      <w:pPr>
        <w:spacing w:after="0" w:line="185" w:lineRule="exact"/>
        <w:rPr>
          <w:rFonts w:ascii="Arial" w:cs="Arial" w:eastAsia="Arial" w:hAnsi="Arial"/>
          <w:sz w:val="16"/>
          <w:szCs w:val="16"/>
          <w:color w:val="5668B0"/>
        </w:rPr>
      </w:pPr>
    </w:p>
    <w:p>
      <w:pPr>
        <w:jc w:val="both"/>
        <w:ind w:left="500" w:hanging="499"/>
        <w:spacing w:after="0" w:line="255" w:lineRule="auto"/>
        <w:tabs>
          <w:tab w:leader="none" w:pos="500" w:val="left"/>
        </w:tabs>
        <w:numPr>
          <w:ilvl w:val="0"/>
          <w:numId w:val="81"/>
        </w:numPr>
        <w:rPr>
          <w:rFonts w:ascii="Arial" w:cs="Arial" w:eastAsia="Arial" w:hAnsi="Arial"/>
          <w:sz w:val="16"/>
          <w:szCs w:val="16"/>
          <w:color w:val="5668B0"/>
        </w:rPr>
      </w:pPr>
      <w:r>
        <w:rPr>
          <w:rFonts w:ascii="Arial" w:cs="Arial" w:eastAsia="Arial" w:hAnsi="Arial"/>
          <w:sz w:val="16"/>
          <w:szCs w:val="16"/>
          <w:color w:val="auto"/>
        </w:rPr>
        <w:t>the fact that Frederic W. Cook and the representative of Frederic W. Cook &amp; Co. to the Company did not own any stock of the Company; and</w:t>
      </w:r>
    </w:p>
    <w:p>
      <w:pPr>
        <w:spacing w:after="0" w:line="172" w:lineRule="exact"/>
        <w:rPr>
          <w:rFonts w:ascii="Arial" w:cs="Arial" w:eastAsia="Arial" w:hAnsi="Arial"/>
          <w:sz w:val="16"/>
          <w:szCs w:val="16"/>
          <w:color w:val="5668B0"/>
        </w:rPr>
      </w:pPr>
    </w:p>
    <w:p>
      <w:pPr>
        <w:jc w:val="both"/>
        <w:ind w:left="500" w:hanging="499"/>
        <w:spacing w:after="0" w:line="255" w:lineRule="auto"/>
        <w:tabs>
          <w:tab w:leader="none" w:pos="500" w:val="left"/>
        </w:tabs>
        <w:numPr>
          <w:ilvl w:val="0"/>
          <w:numId w:val="81"/>
        </w:numPr>
        <w:rPr>
          <w:rFonts w:ascii="Arial" w:cs="Arial" w:eastAsia="Arial" w:hAnsi="Arial"/>
          <w:sz w:val="16"/>
          <w:szCs w:val="16"/>
          <w:color w:val="5668B0"/>
        </w:rPr>
      </w:pPr>
      <w:r>
        <w:rPr>
          <w:rFonts w:ascii="Arial" w:cs="Arial" w:eastAsia="Arial" w:hAnsi="Arial"/>
          <w:sz w:val="16"/>
          <w:szCs w:val="16"/>
          <w:color w:val="auto"/>
        </w:rPr>
        <w:t>the absence of any material business or personal relationship between Frederic W. Cook &amp; Co. and any executive officer of the Company.</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Compensation Committee's evaluation was based in part on a representation letter from Frederic W. Cook &amp; Co.. On the basis of this evaluation, the Compensation Committee concluded that the engagement of Frederic W. Cook &amp; Co. did not raise any conflicts of interest.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Stock Ownership Guidelines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further align the interests of senior management with the interests of shareholders and promote a long-term perspective, the board of directors has adopted stock ownership guidelines for members of senior management, including the Named Officers, and the members of the board of directors. The guidelines are reviewed periodically by the Corporate Governance and Compliance Committee. Pursuant to these guidelines, these individuals are expected to meet share ownership targets that are determined based on their position and their base salary. The share ownership targets are as follows:</w:t>
      </w:r>
    </w:p>
    <w:p>
      <w:pPr>
        <w:spacing w:after="0" w:line="193" w:lineRule="exact"/>
        <w:rPr>
          <w:sz w:val="20"/>
          <w:szCs w:val="20"/>
          <w:color w:val="auto"/>
        </w:rPr>
      </w:pPr>
    </w:p>
    <w:p>
      <w:pPr>
        <w:ind w:left="500" w:right="20" w:hanging="499"/>
        <w:spacing w:after="0" w:line="264" w:lineRule="auto"/>
        <w:tabs>
          <w:tab w:leader="none" w:pos="500" w:val="left"/>
        </w:tabs>
        <w:numPr>
          <w:ilvl w:val="0"/>
          <w:numId w:val="82"/>
        </w:numPr>
        <w:rPr>
          <w:rFonts w:ascii="Arial" w:cs="Arial" w:eastAsia="Arial" w:hAnsi="Arial"/>
          <w:sz w:val="16"/>
          <w:szCs w:val="16"/>
          <w:color w:val="5668B0"/>
        </w:rPr>
      </w:pPr>
      <w:r>
        <w:rPr>
          <w:rFonts w:ascii="Arial" w:cs="Arial" w:eastAsia="Arial" w:hAnsi="Arial"/>
          <w:sz w:val="16"/>
          <w:szCs w:val="16"/>
          <w:color w:val="auto"/>
        </w:rPr>
        <w:t>Chairman of the Board and Chief Executive Officer, six times (6x) base salary;</w:t>
      </w:r>
    </w:p>
    <w:p>
      <w:pPr>
        <w:spacing w:after="0" w:line="177" w:lineRule="exact"/>
        <w:rPr>
          <w:rFonts w:ascii="Arial" w:cs="Arial" w:eastAsia="Arial" w:hAnsi="Arial"/>
          <w:sz w:val="16"/>
          <w:szCs w:val="16"/>
          <w:color w:val="5668B0"/>
        </w:rPr>
      </w:pPr>
    </w:p>
    <w:p>
      <w:pPr>
        <w:ind w:left="500" w:hanging="499"/>
        <w:spacing w:after="0"/>
        <w:tabs>
          <w:tab w:leader="none" w:pos="500" w:val="left"/>
        </w:tabs>
        <w:numPr>
          <w:ilvl w:val="0"/>
          <w:numId w:val="82"/>
        </w:numPr>
        <w:rPr>
          <w:rFonts w:ascii="Arial" w:cs="Arial" w:eastAsia="Arial" w:hAnsi="Arial"/>
          <w:sz w:val="16"/>
          <w:szCs w:val="16"/>
          <w:color w:val="5668B0"/>
        </w:rPr>
      </w:pPr>
      <w:r>
        <w:rPr>
          <w:rFonts w:ascii="Arial" w:cs="Arial" w:eastAsia="Arial" w:hAnsi="Arial"/>
          <w:sz w:val="16"/>
          <w:szCs w:val="16"/>
          <w:color w:val="auto"/>
        </w:rPr>
        <w:t>Chief Scientific Officer, three times (3x) base salary;</w:t>
      </w:r>
    </w:p>
    <w:p>
      <w:pPr>
        <w:spacing w:after="0" w:line="195" w:lineRule="exact"/>
        <w:rPr>
          <w:rFonts w:ascii="Arial" w:cs="Arial" w:eastAsia="Arial" w:hAnsi="Arial"/>
          <w:sz w:val="16"/>
          <w:szCs w:val="16"/>
          <w:color w:val="5668B0"/>
        </w:rPr>
      </w:pPr>
    </w:p>
    <w:p>
      <w:pPr>
        <w:ind w:left="500" w:hanging="499"/>
        <w:spacing w:after="0"/>
        <w:tabs>
          <w:tab w:leader="none" w:pos="500" w:val="left"/>
        </w:tabs>
        <w:numPr>
          <w:ilvl w:val="0"/>
          <w:numId w:val="82"/>
        </w:numPr>
        <w:rPr>
          <w:rFonts w:ascii="Arial" w:cs="Arial" w:eastAsia="Arial" w:hAnsi="Arial"/>
          <w:sz w:val="16"/>
          <w:szCs w:val="16"/>
          <w:color w:val="5668B0"/>
        </w:rPr>
      </w:pPr>
      <w:r>
        <w:rPr>
          <w:rFonts w:ascii="Arial" w:cs="Arial" w:eastAsia="Arial" w:hAnsi="Arial"/>
          <w:sz w:val="16"/>
          <w:szCs w:val="16"/>
          <w:color w:val="auto"/>
        </w:rPr>
        <w:t>Executive/Senior Vice Presidents, two times (2x) base salary; and</w:t>
      </w:r>
    </w:p>
    <w:p>
      <w:pPr>
        <w:spacing w:after="0" w:line="195" w:lineRule="exact"/>
        <w:rPr>
          <w:rFonts w:ascii="Arial" w:cs="Arial" w:eastAsia="Arial" w:hAnsi="Arial"/>
          <w:sz w:val="16"/>
          <w:szCs w:val="16"/>
          <w:color w:val="5668B0"/>
        </w:rPr>
      </w:pPr>
    </w:p>
    <w:p>
      <w:pPr>
        <w:ind w:left="500" w:right="20" w:hanging="499"/>
        <w:spacing w:after="0" w:line="264" w:lineRule="auto"/>
        <w:tabs>
          <w:tab w:leader="none" w:pos="500" w:val="left"/>
        </w:tabs>
        <w:numPr>
          <w:ilvl w:val="0"/>
          <w:numId w:val="82"/>
        </w:numPr>
        <w:rPr>
          <w:rFonts w:ascii="Arial" w:cs="Arial" w:eastAsia="Arial" w:hAnsi="Arial"/>
          <w:sz w:val="16"/>
          <w:szCs w:val="16"/>
          <w:color w:val="5668B0"/>
        </w:rPr>
      </w:pPr>
      <w:r>
        <w:rPr>
          <w:rFonts w:ascii="Arial" w:cs="Arial" w:eastAsia="Arial" w:hAnsi="Arial"/>
          <w:sz w:val="16"/>
          <w:szCs w:val="16"/>
          <w:color w:val="auto"/>
        </w:rPr>
        <w:t>non-employee members of the board of directors, six times (6x) the annual retainer.</w:t>
      </w:r>
    </w:p>
    <w:p>
      <w:pPr>
        <w:spacing w:after="0" w:line="17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Covered individuals who do not currently meet these guidelines have five years from becoming subject to the policy to reach their target. Members of senior management who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2006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252095</wp:posOffset>
            </wp:positionV>
            <wp:extent cx="8255" cy="1930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86" w:lineRule="exact"/>
        <w:rPr>
          <w:sz w:val="20"/>
          <w:szCs w:val="20"/>
          <w:color w:val="auto"/>
        </w:rPr>
      </w:pPr>
    </w:p>
    <w:p>
      <w:pPr>
        <w:ind w:left="1160" w:hanging="744"/>
        <w:spacing w:after="0"/>
        <w:tabs>
          <w:tab w:leader="none" w:pos="1160" w:val="left"/>
        </w:tabs>
        <w:numPr>
          <w:ilvl w:val="0"/>
          <w:numId w:val="8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hired or promoted, and directors who join the board of directors, have five years from such date to reach their target. Shares held directly, shares held indirectly through our 401(k) Savings Plan, shares held in trust, and shares held by immediate family members residing in the same household are included in determining an individual's share ownership. Unexercised stock options and unvested restricted stock are not considered owned for purposes of these guidelines. All directors and officers have either met their respective share ownership targets or are still within the five-year period for achieving compliance.</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668B0"/>
        </w:rPr>
        <w:t>Say-on-Pay Response</w:t>
      </w:r>
    </w:p>
    <w:p>
      <w:pPr>
        <w:spacing w:after="0" w:line="228"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Our shareholders are provided with an opportunity to cast a non-binding, advisory vote every three years on our executive compensation program. Our shareholders most recently had the opportunity to cast advisory say-on-pay votes at our annual shareholder meeting held in June 2014, at which approximately 62% of the votes cast supported the advisory vote proposal on our executive compensation program. Management and the Compensation Committee carefully considered the results of the most recent say-on-pay vote. Senior members of our management as well as the Chairman of the Compensation Committee subsequently spent a significant amount of time speaking with some of our key shareholders about executive compensation and corporate governance. As part of our 2014 engagement effort, we discussed these issues with shareholders collectively representing approximately 47% of the shares of common stock outstanding as of December 31, 2014 (excluding shares held our directors and executive officers and Sanofi). Following the 2014 discussions, we implemented several changes to our executive compensation program and continued the implementation of our existing compensation and governance initiatives. A summary of the relevant changes and initiatives adopted after the most recent say-on-pay vote is provided below.</w:t>
      </w:r>
    </w:p>
    <w:p>
      <w:pPr>
        <w:spacing w:after="0" w:line="386" w:lineRule="exact"/>
        <w:rPr>
          <w:sz w:val="20"/>
          <w:szCs w:val="20"/>
          <w:color w:val="auto"/>
        </w:rPr>
      </w:pPr>
    </w:p>
    <w:p>
      <w:pPr>
        <w:jc w:val="both"/>
        <w:ind w:left="503" w:hanging="503"/>
        <w:spacing w:after="0" w:line="251" w:lineRule="auto"/>
        <w:tabs>
          <w:tab w:leader="none" w:pos="503" w:val="left"/>
        </w:tabs>
        <w:numPr>
          <w:ilvl w:val="0"/>
          <w:numId w:val="84"/>
        </w:numPr>
        <w:rPr>
          <w:rFonts w:ascii="Arial" w:cs="Arial" w:eastAsia="Arial" w:hAnsi="Arial"/>
          <w:sz w:val="16"/>
          <w:szCs w:val="16"/>
          <w:color w:val="5668B0"/>
        </w:rPr>
      </w:pPr>
      <w:r>
        <w:rPr>
          <w:rFonts w:ascii="Arial" w:cs="Arial" w:eastAsia="Arial" w:hAnsi="Arial"/>
          <w:sz w:val="16"/>
          <w:szCs w:val="16"/>
          <w:color w:val="auto"/>
        </w:rPr>
        <w:t>We reduced the number of shares underlying the 2014 annual stock option awards to the Named Officers by an average of 16% compared to the prior year (without giving effect to a grant to our Chief Financial Officer, who did not receive an annual stock option award in 2013 because he joined the Company in September 2013).</w:t>
      </w:r>
    </w:p>
    <w:p>
      <w:pPr>
        <w:spacing w:after="0" w:line="379" w:lineRule="exact"/>
        <w:rPr>
          <w:rFonts w:ascii="Arial" w:cs="Arial" w:eastAsia="Arial" w:hAnsi="Arial"/>
          <w:sz w:val="16"/>
          <w:szCs w:val="16"/>
          <w:color w:val="5668B0"/>
        </w:rPr>
      </w:pPr>
    </w:p>
    <w:p>
      <w:pPr>
        <w:jc w:val="both"/>
        <w:ind w:left="503" w:hanging="503"/>
        <w:spacing w:after="0" w:line="251" w:lineRule="auto"/>
        <w:tabs>
          <w:tab w:leader="none" w:pos="503" w:val="left"/>
        </w:tabs>
        <w:numPr>
          <w:ilvl w:val="0"/>
          <w:numId w:val="84"/>
        </w:numPr>
        <w:rPr>
          <w:rFonts w:ascii="Arial" w:cs="Arial" w:eastAsia="Arial" w:hAnsi="Arial"/>
          <w:sz w:val="16"/>
          <w:szCs w:val="16"/>
          <w:color w:val="5668B0"/>
        </w:rPr>
      </w:pPr>
      <w:r>
        <w:rPr>
          <w:rFonts w:ascii="Arial" w:cs="Arial" w:eastAsia="Arial" w:hAnsi="Arial"/>
          <w:sz w:val="16"/>
          <w:szCs w:val="16"/>
          <w:color w:val="auto"/>
        </w:rPr>
        <w:t>We eliminated certain perquisites of our Chief Executive Officer and our Chief Scientific Officer we considered no longer consistent with our overall compensation program, including, in the case of our Chief Executive Officer, a tax gross-up related to legal, tax, and financial planning advisory services.</w:t>
      </w:r>
    </w:p>
    <w:p>
      <w:pPr>
        <w:sectPr>
          <w:pgSz w:w="11900" w:h="16838" w:orient="portrait"/>
          <w:cols w:equalWidth="0" w:num="2">
            <w:col w:w="5380" w:space="677"/>
            <w:col w:w="5363"/>
          </w:cols>
          <w:pgMar w:left="240" w:top="142"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5720" w:type="dxa"/>
            <w:vAlign w:val="bottom"/>
            <w:gridSpan w:val="3"/>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Table of Contents</w:t>
              </w:r>
            </w:hyperlink>
          </w:p>
        </w:tc>
        <w:tc>
          <w:tcPr>
            <w:tcW w:w="6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603"/>
        </w:trPr>
        <w:tc>
          <w:tcPr>
            <w:tcW w:w="280" w:type="dxa"/>
            <w:vAlign w:val="bottom"/>
          </w:tcPr>
          <w:p>
            <w:pPr>
              <w:spacing w:after="0"/>
              <w:rPr>
                <w:sz w:val="20"/>
                <w:szCs w:val="20"/>
                <w:color w:val="auto"/>
              </w:rPr>
            </w:pPr>
            <w:r>
              <w:rPr>
                <w:rFonts w:ascii="Arial" w:cs="Arial" w:eastAsia="Arial" w:hAnsi="Arial"/>
                <w:sz w:val="16"/>
                <w:szCs w:val="16"/>
                <w:color w:val="5668B0"/>
              </w:rPr>
              <w:t>•</w:t>
            </w:r>
          </w:p>
        </w:tc>
        <w:tc>
          <w:tcPr>
            <w:tcW w:w="5440" w:type="dxa"/>
            <w:vAlign w:val="bottom"/>
            <w:gridSpan w:val="2"/>
          </w:tcPr>
          <w:p>
            <w:pPr>
              <w:ind w:left="220"/>
              <w:spacing w:after="0"/>
              <w:rPr>
                <w:sz w:val="20"/>
                <w:szCs w:val="20"/>
                <w:color w:val="auto"/>
              </w:rPr>
            </w:pPr>
            <w:r>
              <w:rPr>
                <w:rFonts w:ascii="Arial" w:cs="Arial" w:eastAsia="Arial" w:hAnsi="Arial"/>
                <w:sz w:val="16"/>
                <w:szCs w:val="16"/>
                <w:color w:val="auto"/>
              </w:rPr>
              <w:t>We  adopted  a  policy  against  including  excise  tax  gross-up</w:t>
            </w:r>
          </w:p>
        </w:tc>
        <w:tc>
          <w:tcPr>
            <w:tcW w:w="620" w:type="dxa"/>
            <w:vAlign w:val="bottom"/>
          </w:tcPr>
          <w:p>
            <w:pPr>
              <w:ind w:left="340"/>
              <w:spacing w:after="0"/>
              <w:rPr>
                <w:sz w:val="20"/>
                <w:szCs w:val="20"/>
                <w:color w:val="auto"/>
              </w:rPr>
            </w:pPr>
            <w:r>
              <w:rPr>
                <w:rFonts w:ascii="Arial" w:cs="Arial" w:eastAsia="Arial" w:hAnsi="Arial"/>
                <w:sz w:val="16"/>
                <w:szCs w:val="16"/>
                <w:color w:val="5668B0"/>
              </w:rPr>
              <w:t>•</w:t>
            </w:r>
          </w:p>
        </w:tc>
        <w:tc>
          <w:tcPr>
            <w:tcW w:w="3100" w:type="dxa"/>
            <w:vAlign w:val="bottom"/>
          </w:tcPr>
          <w:p>
            <w:pPr>
              <w:ind w:left="220"/>
              <w:spacing w:after="0"/>
              <w:rPr>
                <w:sz w:val="20"/>
                <w:szCs w:val="20"/>
                <w:color w:val="auto"/>
              </w:rPr>
            </w:pPr>
            <w:r>
              <w:rPr>
                <w:rFonts w:ascii="Arial" w:cs="Arial" w:eastAsia="Arial" w:hAnsi="Arial"/>
                <w:sz w:val="16"/>
                <w:szCs w:val="16"/>
                <w:color w:val="auto"/>
              </w:rPr>
              <w:t>We  provided  additional  information</w:t>
            </w:r>
          </w:p>
        </w:tc>
        <w:tc>
          <w:tcPr>
            <w:tcW w:w="1980" w:type="dxa"/>
            <w:vAlign w:val="bottom"/>
          </w:tcPr>
          <w:p>
            <w:pPr>
              <w:jc w:val="right"/>
              <w:spacing w:after="0"/>
              <w:rPr>
                <w:sz w:val="20"/>
                <w:szCs w:val="20"/>
                <w:color w:val="auto"/>
              </w:rPr>
            </w:pPr>
            <w:r>
              <w:rPr>
                <w:rFonts w:ascii="Arial" w:cs="Arial" w:eastAsia="Arial" w:hAnsi="Arial"/>
                <w:sz w:val="16"/>
                <w:szCs w:val="16"/>
                <w:color w:val="auto"/>
              </w:rPr>
              <w:t>regarding  compensation</w:t>
            </w:r>
          </w:p>
        </w:tc>
      </w:tr>
      <w:tr>
        <w:trPr>
          <w:trHeight w:val="190"/>
        </w:trPr>
        <w:tc>
          <w:tcPr>
            <w:tcW w:w="280" w:type="dxa"/>
            <w:vAlign w:val="bottom"/>
          </w:tcPr>
          <w:p>
            <w:pPr>
              <w:spacing w:after="0"/>
              <w:rPr>
                <w:sz w:val="16"/>
                <w:szCs w:val="16"/>
                <w:color w:val="auto"/>
              </w:rPr>
            </w:pPr>
          </w:p>
        </w:tc>
        <w:tc>
          <w:tcPr>
            <w:tcW w:w="5440" w:type="dxa"/>
            <w:vAlign w:val="bottom"/>
            <w:gridSpan w:val="2"/>
          </w:tcPr>
          <w:p>
            <w:pPr>
              <w:ind w:left="220"/>
              <w:spacing w:after="0"/>
              <w:rPr>
                <w:sz w:val="20"/>
                <w:szCs w:val="20"/>
                <w:color w:val="auto"/>
              </w:rPr>
            </w:pPr>
            <w:r>
              <w:rPr>
                <w:rFonts w:ascii="Arial" w:cs="Arial" w:eastAsia="Arial" w:hAnsi="Arial"/>
                <w:sz w:val="16"/>
                <w:szCs w:val="16"/>
                <w:color w:val="auto"/>
              </w:rPr>
              <w:t>provisions with respect to payments contingent upon a change in</w:t>
            </w:r>
          </w:p>
        </w:tc>
        <w:tc>
          <w:tcPr>
            <w:tcW w:w="620" w:type="dxa"/>
            <w:vAlign w:val="bottom"/>
          </w:tcPr>
          <w:p>
            <w:pPr>
              <w:spacing w:after="0"/>
              <w:rPr>
                <w:sz w:val="16"/>
                <w:szCs w:val="16"/>
                <w:color w:val="auto"/>
              </w:rPr>
            </w:pPr>
          </w:p>
        </w:tc>
        <w:tc>
          <w:tcPr>
            <w:tcW w:w="5080" w:type="dxa"/>
            <w:vAlign w:val="bottom"/>
            <w:gridSpan w:val="2"/>
          </w:tcPr>
          <w:p>
            <w:pPr>
              <w:ind w:left="220"/>
              <w:spacing w:after="0"/>
              <w:rPr>
                <w:sz w:val="20"/>
                <w:szCs w:val="20"/>
                <w:color w:val="auto"/>
              </w:rPr>
            </w:pPr>
            <w:r>
              <w:rPr>
                <w:rFonts w:ascii="Arial" w:cs="Arial" w:eastAsia="Arial" w:hAnsi="Arial"/>
                <w:sz w:val="16"/>
                <w:szCs w:val="16"/>
                <w:color w:val="auto"/>
              </w:rPr>
              <w:t>decisions and our compensation philosophy in the Compensation</w:t>
            </w:r>
          </w:p>
        </w:tc>
      </w:tr>
      <w:tr>
        <w:trPr>
          <w:trHeight w:val="190"/>
        </w:trPr>
        <w:tc>
          <w:tcPr>
            <w:tcW w:w="280" w:type="dxa"/>
            <w:vAlign w:val="bottom"/>
          </w:tcPr>
          <w:p>
            <w:pPr>
              <w:spacing w:after="0"/>
              <w:rPr>
                <w:sz w:val="16"/>
                <w:szCs w:val="16"/>
                <w:color w:val="auto"/>
              </w:rPr>
            </w:pPr>
          </w:p>
        </w:tc>
        <w:tc>
          <w:tcPr>
            <w:tcW w:w="5440" w:type="dxa"/>
            <w:vAlign w:val="bottom"/>
            <w:gridSpan w:val="2"/>
          </w:tcPr>
          <w:p>
            <w:pPr>
              <w:ind w:left="220"/>
              <w:spacing w:after="0"/>
              <w:rPr>
                <w:sz w:val="20"/>
                <w:szCs w:val="20"/>
                <w:color w:val="auto"/>
              </w:rPr>
            </w:pPr>
            <w:r>
              <w:rPr>
                <w:rFonts w:ascii="Arial" w:cs="Arial" w:eastAsia="Arial" w:hAnsi="Arial"/>
                <w:sz w:val="16"/>
                <w:szCs w:val="16"/>
                <w:color w:val="auto"/>
              </w:rPr>
              <w:t>control of Regeneron in contracts, compensatory plans, or other</w:t>
            </w:r>
          </w:p>
        </w:tc>
        <w:tc>
          <w:tcPr>
            <w:tcW w:w="620" w:type="dxa"/>
            <w:vAlign w:val="bottom"/>
          </w:tcPr>
          <w:p>
            <w:pPr>
              <w:spacing w:after="0"/>
              <w:rPr>
                <w:sz w:val="16"/>
                <w:szCs w:val="16"/>
                <w:color w:val="auto"/>
              </w:rPr>
            </w:pPr>
          </w:p>
        </w:tc>
        <w:tc>
          <w:tcPr>
            <w:tcW w:w="3100" w:type="dxa"/>
            <w:vAlign w:val="bottom"/>
          </w:tcPr>
          <w:p>
            <w:pPr>
              <w:ind w:left="220"/>
              <w:spacing w:after="0"/>
              <w:rPr>
                <w:sz w:val="20"/>
                <w:szCs w:val="20"/>
                <w:color w:val="auto"/>
              </w:rPr>
            </w:pPr>
            <w:r>
              <w:rPr>
                <w:rFonts w:ascii="Arial" w:cs="Arial" w:eastAsia="Arial" w:hAnsi="Arial"/>
                <w:sz w:val="16"/>
                <w:szCs w:val="16"/>
                <w:color w:val="auto"/>
              </w:rPr>
              <w:t>Discussion and Analysis of our 2015</w:t>
            </w:r>
          </w:p>
        </w:tc>
        <w:tc>
          <w:tcPr>
            <w:tcW w:w="1980" w:type="dxa"/>
            <w:vAlign w:val="bottom"/>
          </w:tcPr>
          <w:p>
            <w:pPr>
              <w:jc w:val="right"/>
              <w:spacing w:after="0"/>
              <w:rPr>
                <w:sz w:val="20"/>
                <w:szCs w:val="20"/>
                <w:color w:val="auto"/>
              </w:rPr>
            </w:pPr>
            <w:r>
              <w:rPr>
                <w:rFonts w:ascii="Arial" w:cs="Arial" w:eastAsia="Arial" w:hAnsi="Arial"/>
                <w:sz w:val="16"/>
                <w:szCs w:val="16"/>
                <w:color w:val="auto"/>
              </w:rPr>
              <w:t>proxy statement to better</w:t>
            </w:r>
          </w:p>
        </w:tc>
      </w:tr>
      <w:tr>
        <w:trPr>
          <w:trHeight w:val="190"/>
        </w:trPr>
        <w:tc>
          <w:tcPr>
            <w:tcW w:w="280" w:type="dxa"/>
            <w:vAlign w:val="bottom"/>
          </w:tcPr>
          <w:p>
            <w:pPr>
              <w:spacing w:after="0"/>
              <w:rPr>
                <w:sz w:val="16"/>
                <w:szCs w:val="16"/>
                <w:color w:val="auto"/>
              </w:rPr>
            </w:pPr>
          </w:p>
        </w:tc>
        <w:tc>
          <w:tcPr>
            <w:tcW w:w="5440" w:type="dxa"/>
            <w:vAlign w:val="bottom"/>
            <w:gridSpan w:val="2"/>
          </w:tcPr>
          <w:p>
            <w:pPr>
              <w:ind w:left="220"/>
              <w:spacing w:after="0"/>
              <w:rPr>
                <w:sz w:val="20"/>
                <w:szCs w:val="20"/>
                <w:color w:val="auto"/>
              </w:rPr>
            </w:pPr>
            <w:r>
              <w:rPr>
                <w:rFonts w:ascii="Arial" w:cs="Arial" w:eastAsia="Arial" w:hAnsi="Arial"/>
                <w:sz w:val="16"/>
                <w:szCs w:val="16"/>
                <w:color w:val="auto"/>
              </w:rPr>
              <w:t>arrangements with the Company's executive officers, including the</w:t>
            </w:r>
          </w:p>
        </w:tc>
        <w:tc>
          <w:tcPr>
            <w:tcW w:w="620" w:type="dxa"/>
            <w:vAlign w:val="bottom"/>
          </w:tcPr>
          <w:p>
            <w:pPr>
              <w:spacing w:after="0"/>
              <w:rPr>
                <w:sz w:val="16"/>
                <w:szCs w:val="16"/>
                <w:color w:val="auto"/>
              </w:rPr>
            </w:pPr>
          </w:p>
        </w:tc>
        <w:tc>
          <w:tcPr>
            <w:tcW w:w="5080" w:type="dxa"/>
            <w:vAlign w:val="bottom"/>
            <w:gridSpan w:val="2"/>
          </w:tcPr>
          <w:p>
            <w:pPr>
              <w:ind w:left="220"/>
              <w:spacing w:after="0"/>
              <w:rPr>
                <w:sz w:val="20"/>
                <w:szCs w:val="20"/>
                <w:color w:val="auto"/>
              </w:rPr>
            </w:pPr>
            <w:r>
              <w:rPr>
                <w:rFonts w:ascii="Arial" w:cs="Arial" w:eastAsia="Arial" w:hAnsi="Arial"/>
                <w:sz w:val="16"/>
                <w:szCs w:val="16"/>
                <w:color w:val="auto"/>
              </w:rPr>
              <w:t>communicate  to  our  shareholders  what  drives  compensation</w:t>
            </w:r>
          </w:p>
        </w:tc>
      </w:tr>
      <w:tr>
        <w:trPr>
          <w:trHeight w:val="190"/>
        </w:trPr>
        <w:tc>
          <w:tcPr>
            <w:tcW w:w="280" w:type="dxa"/>
            <w:vAlign w:val="bottom"/>
          </w:tcPr>
          <w:p>
            <w:pPr>
              <w:spacing w:after="0"/>
              <w:rPr>
                <w:sz w:val="16"/>
                <w:szCs w:val="16"/>
                <w:color w:val="auto"/>
              </w:rPr>
            </w:pPr>
          </w:p>
        </w:tc>
        <w:tc>
          <w:tcPr>
            <w:tcW w:w="5440" w:type="dxa"/>
            <w:vAlign w:val="bottom"/>
            <w:gridSpan w:val="2"/>
          </w:tcPr>
          <w:p>
            <w:pPr>
              <w:ind w:left="220"/>
              <w:spacing w:after="0"/>
              <w:rPr>
                <w:sz w:val="20"/>
                <w:szCs w:val="20"/>
                <w:color w:val="auto"/>
              </w:rPr>
            </w:pPr>
            <w:r>
              <w:rPr>
                <w:rFonts w:ascii="Arial" w:cs="Arial" w:eastAsia="Arial" w:hAnsi="Arial"/>
                <w:sz w:val="16"/>
                <w:szCs w:val="16"/>
                <w:color w:val="auto"/>
              </w:rPr>
              <w:t>Named Officers (other than the existing employment agreement</w:t>
            </w:r>
          </w:p>
        </w:tc>
        <w:tc>
          <w:tcPr>
            <w:tcW w:w="620" w:type="dxa"/>
            <w:vAlign w:val="bottom"/>
          </w:tcPr>
          <w:p>
            <w:pPr>
              <w:spacing w:after="0"/>
              <w:rPr>
                <w:sz w:val="16"/>
                <w:szCs w:val="16"/>
                <w:color w:val="auto"/>
              </w:rPr>
            </w:pPr>
          </w:p>
        </w:tc>
        <w:tc>
          <w:tcPr>
            <w:tcW w:w="3100" w:type="dxa"/>
            <w:vAlign w:val="bottom"/>
          </w:tcPr>
          <w:p>
            <w:pPr>
              <w:ind w:left="220"/>
              <w:spacing w:after="0"/>
              <w:rPr>
                <w:sz w:val="20"/>
                <w:szCs w:val="20"/>
                <w:color w:val="auto"/>
              </w:rPr>
            </w:pPr>
            <w:r>
              <w:rPr>
                <w:rFonts w:ascii="Arial" w:cs="Arial" w:eastAsia="Arial" w:hAnsi="Arial"/>
                <w:sz w:val="16"/>
                <w:szCs w:val="16"/>
                <w:color w:val="auto"/>
              </w:rPr>
              <w:t>decisions at Regeneron.</w:t>
            </w:r>
          </w:p>
        </w:tc>
        <w:tc>
          <w:tcPr>
            <w:tcW w:w="1980" w:type="dxa"/>
            <w:vAlign w:val="bottom"/>
          </w:tcPr>
          <w:p>
            <w:pPr>
              <w:spacing w:after="0"/>
              <w:rPr>
                <w:sz w:val="16"/>
                <w:szCs w:val="16"/>
                <w:color w:val="auto"/>
              </w:rPr>
            </w:pPr>
          </w:p>
        </w:tc>
      </w:tr>
      <w:tr>
        <w:trPr>
          <w:trHeight w:val="190"/>
        </w:trPr>
        <w:tc>
          <w:tcPr>
            <w:tcW w:w="280" w:type="dxa"/>
            <w:vAlign w:val="bottom"/>
          </w:tcPr>
          <w:p>
            <w:pPr>
              <w:spacing w:after="0"/>
              <w:rPr>
                <w:sz w:val="16"/>
                <w:szCs w:val="16"/>
                <w:color w:val="auto"/>
              </w:rPr>
            </w:pPr>
          </w:p>
        </w:tc>
        <w:tc>
          <w:tcPr>
            <w:tcW w:w="5440" w:type="dxa"/>
            <w:vAlign w:val="bottom"/>
            <w:gridSpan w:val="2"/>
          </w:tcPr>
          <w:p>
            <w:pPr>
              <w:ind w:left="220"/>
              <w:spacing w:after="0"/>
              <w:rPr>
                <w:sz w:val="20"/>
                <w:szCs w:val="20"/>
                <w:color w:val="auto"/>
              </w:rPr>
            </w:pPr>
            <w:r>
              <w:rPr>
                <w:rFonts w:ascii="Arial" w:cs="Arial" w:eastAsia="Arial" w:hAnsi="Arial"/>
                <w:sz w:val="16"/>
                <w:szCs w:val="16"/>
                <w:color w:val="auto"/>
              </w:rPr>
              <w:t>with our Chief Executive Officer or any amendments thereto, which</w:t>
            </w:r>
          </w:p>
        </w:tc>
        <w:tc>
          <w:tcPr>
            <w:tcW w:w="6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7"/>
        </w:trPr>
        <w:tc>
          <w:tcPr>
            <w:tcW w:w="280" w:type="dxa"/>
            <w:vAlign w:val="bottom"/>
          </w:tcPr>
          <w:p>
            <w:pPr>
              <w:spacing w:after="0"/>
              <w:rPr>
                <w:sz w:val="17"/>
                <w:szCs w:val="17"/>
                <w:color w:val="auto"/>
              </w:rPr>
            </w:pPr>
          </w:p>
        </w:tc>
        <w:tc>
          <w:tcPr>
            <w:tcW w:w="5440" w:type="dxa"/>
            <w:vAlign w:val="bottom"/>
            <w:gridSpan w:val="2"/>
          </w:tcPr>
          <w:p>
            <w:pPr>
              <w:ind w:left="220"/>
              <w:spacing w:after="0"/>
              <w:rPr>
                <w:sz w:val="20"/>
                <w:szCs w:val="20"/>
                <w:color w:val="auto"/>
              </w:rPr>
            </w:pPr>
            <w:r>
              <w:rPr>
                <w:rFonts w:ascii="Arial" w:cs="Arial" w:eastAsia="Arial" w:hAnsi="Arial"/>
                <w:sz w:val="16"/>
                <w:szCs w:val="16"/>
                <w:color w:val="auto"/>
              </w:rPr>
              <w:t>we expressly exempted).</w:t>
            </w:r>
          </w:p>
        </w:tc>
        <w:tc>
          <w:tcPr>
            <w:tcW w:w="6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80" w:type="dxa"/>
            <w:vAlign w:val="bottom"/>
          </w:tcPr>
          <w:p>
            <w:pPr>
              <w:spacing w:after="0"/>
              <w:rPr>
                <w:sz w:val="17"/>
                <w:szCs w:val="17"/>
                <w:color w:val="auto"/>
              </w:rPr>
            </w:pPr>
          </w:p>
        </w:tc>
      </w:tr>
    </w:tbl>
    <w:p>
      <w:pPr>
        <w:spacing w:after="0" w:line="398"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We will continue to consider the outcome of our past and future advisory vote results. Our shareholder engagement efforts and implementation of compensation and governance initiatives continued in 2015, as described further below under "2015 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7316470" cy="1571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16470" cy="157162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left="860"/>
        <w:spacing w:after="0"/>
        <w:rPr>
          <w:sz w:val="20"/>
          <w:szCs w:val="20"/>
          <w:color w:val="auto"/>
        </w:rPr>
      </w:pPr>
      <w:r>
        <w:rPr>
          <w:rFonts w:ascii="Arial" w:cs="Arial" w:eastAsia="Arial" w:hAnsi="Arial"/>
          <w:sz w:val="16"/>
          <w:szCs w:val="16"/>
          <w:b w:val="1"/>
          <w:bCs w:val="1"/>
          <w:color w:val="auto"/>
        </w:rPr>
        <w:t>2015 Shareholder Outreach</w:t>
      </w:r>
    </w:p>
    <w:p>
      <w:pPr>
        <w:spacing w:after="0" w:line="228" w:lineRule="exact"/>
        <w:rPr>
          <w:sz w:val="20"/>
          <w:szCs w:val="20"/>
          <w:color w:val="auto"/>
        </w:rPr>
      </w:pPr>
    </w:p>
    <w:p>
      <w:pPr>
        <w:jc w:val="both"/>
        <w:ind w:left="420"/>
        <w:spacing w:after="0" w:line="250" w:lineRule="auto"/>
        <w:rPr>
          <w:sz w:val="20"/>
          <w:szCs w:val="20"/>
          <w:color w:val="auto"/>
        </w:rPr>
      </w:pPr>
      <w:r>
        <w:rPr>
          <w:rFonts w:ascii="Arial" w:cs="Arial" w:eastAsia="Arial" w:hAnsi="Arial"/>
          <w:sz w:val="16"/>
          <w:szCs w:val="16"/>
          <w:color w:val="auto"/>
        </w:rPr>
        <w:t>We have instituted an ongoing shareholder outreach program through which we seek input from our institutional investors and other shareholders regar our executive compensation and other governance practices, and implement appropriate changes based on this input. We value shareholder views insights and believe that constructive and meaningful dialogue allows us to develop broader relationships with investors over the long-term and b informed relationships that promote transparency and accountability. We continued our shareholder outreach efforts in 2015 and engaged in discussions shareholders collectively representing approximately 47% of the shares of common stock outstanding as of December 31, 2015 (excluding shares held directors and executive officers and Sanofi). Below is a summary of recent changes we have adopted based on shareholder feedback and other rele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80" w:type="dxa"/>
            <w:vAlign w:val="bottom"/>
            <w:shd w:val="clear" w:color="auto" w:fill="5668B0"/>
          </w:tcPr>
          <w:p>
            <w:pPr>
              <w:ind w:left="1180"/>
              <w:spacing w:after="0"/>
              <w:rPr>
                <w:sz w:val="20"/>
                <w:szCs w:val="20"/>
                <w:color w:val="auto"/>
              </w:rPr>
            </w:pPr>
            <w:r>
              <w:rPr>
                <w:rFonts w:ascii="Arial" w:cs="Arial" w:eastAsia="Arial" w:hAnsi="Arial"/>
                <w:sz w:val="13"/>
                <w:szCs w:val="13"/>
                <w:color w:val="FFFFFE"/>
              </w:rPr>
              <w:t>What We Heard</w:t>
            </w:r>
          </w:p>
        </w:tc>
        <w:tc>
          <w:tcPr>
            <w:tcW w:w="4360" w:type="dxa"/>
            <w:vAlign w:val="bottom"/>
            <w:shd w:val="clear" w:color="auto" w:fill="5668B0"/>
          </w:tcPr>
          <w:p>
            <w:pPr>
              <w:ind w:left="2040"/>
              <w:spacing w:after="0"/>
              <w:rPr>
                <w:sz w:val="20"/>
                <w:szCs w:val="20"/>
                <w:color w:val="auto"/>
              </w:rPr>
            </w:pPr>
            <w:r>
              <w:rPr>
                <w:rFonts w:ascii="Arial" w:cs="Arial" w:eastAsia="Arial" w:hAnsi="Arial"/>
                <w:sz w:val="13"/>
                <w:szCs w:val="13"/>
                <w:color w:val="FFFFFE"/>
              </w:rPr>
              <w:t>What We Did</w:t>
            </w:r>
          </w:p>
        </w:tc>
        <w:tc>
          <w:tcPr>
            <w:tcW w:w="3780" w:type="dxa"/>
            <w:vAlign w:val="bottom"/>
            <w:shd w:val="clear" w:color="auto" w:fill="5668B0"/>
          </w:tcPr>
          <w:p>
            <w:pPr>
              <w:ind w:left="1560"/>
              <w:spacing w:after="0"/>
              <w:rPr>
                <w:sz w:val="20"/>
                <w:szCs w:val="20"/>
                <w:color w:val="auto"/>
              </w:rPr>
            </w:pPr>
            <w:r>
              <w:rPr>
                <w:rFonts w:ascii="Arial" w:cs="Arial" w:eastAsia="Arial" w:hAnsi="Arial"/>
                <w:sz w:val="13"/>
                <w:szCs w:val="13"/>
                <w:color w:val="FFFFFE"/>
              </w:rPr>
              <w:t>When Implemented</w:t>
            </w:r>
          </w:p>
        </w:tc>
      </w:tr>
      <w:tr>
        <w:trPr>
          <w:trHeight w:val="156"/>
        </w:trPr>
        <w:tc>
          <w:tcPr>
            <w:tcW w:w="3280" w:type="dxa"/>
            <w:vAlign w:val="bottom"/>
            <w:shd w:val="clear" w:color="auto" w:fill="E6ECF8"/>
          </w:tcPr>
          <w:p>
            <w:pPr>
              <w:spacing w:after="0"/>
              <w:rPr>
                <w:sz w:val="20"/>
                <w:szCs w:val="20"/>
                <w:color w:val="auto"/>
              </w:rPr>
            </w:pPr>
            <w:r>
              <w:rPr>
                <w:rFonts w:ascii="Arial" w:cs="Arial" w:eastAsia="Arial" w:hAnsi="Arial"/>
                <w:sz w:val="13"/>
                <w:szCs w:val="13"/>
                <w:color w:val="auto"/>
              </w:rPr>
              <w:t>Concern about size of NEO equity awards</w:t>
            </w:r>
          </w:p>
        </w:tc>
        <w:tc>
          <w:tcPr>
            <w:tcW w:w="4360" w:type="dxa"/>
            <w:vAlign w:val="bottom"/>
            <w:shd w:val="clear" w:color="auto" w:fill="E6ECF8"/>
          </w:tcPr>
          <w:p>
            <w:pPr>
              <w:ind w:left="780"/>
              <w:spacing w:after="0"/>
              <w:rPr>
                <w:sz w:val="20"/>
                <w:szCs w:val="20"/>
                <w:color w:val="auto"/>
              </w:rPr>
            </w:pPr>
            <w:r>
              <w:rPr>
                <w:rFonts w:ascii="Arial" w:cs="Arial" w:eastAsia="Arial" w:hAnsi="Arial"/>
                <w:sz w:val="13"/>
                <w:szCs w:val="13"/>
                <w:color w:val="auto"/>
              </w:rPr>
              <w:t>Implemented another double-digit percentage</w:t>
            </w:r>
          </w:p>
        </w:tc>
        <w:tc>
          <w:tcPr>
            <w:tcW w:w="3780" w:type="dxa"/>
            <w:vAlign w:val="bottom"/>
            <w:shd w:val="clear" w:color="auto" w:fill="E6ECF8"/>
          </w:tcPr>
          <w:p>
            <w:pPr>
              <w:ind w:left="480"/>
              <w:spacing w:after="0"/>
              <w:rPr>
                <w:sz w:val="20"/>
                <w:szCs w:val="20"/>
                <w:color w:val="auto"/>
              </w:rPr>
            </w:pPr>
            <w:r>
              <w:rPr>
                <w:rFonts w:ascii="Arial" w:cs="Arial" w:eastAsia="Arial" w:hAnsi="Arial"/>
                <w:sz w:val="13"/>
                <w:szCs w:val="13"/>
                <w:color w:val="auto"/>
              </w:rPr>
              <w:t>December 2015 (earlier reductions implemented in</w:t>
            </w:r>
          </w:p>
        </w:tc>
      </w:tr>
      <w:tr>
        <w:trPr>
          <w:trHeight w:val="152"/>
        </w:trPr>
        <w:tc>
          <w:tcPr>
            <w:tcW w:w="3280" w:type="dxa"/>
            <w:vAlign w:val="bottom"/>
            <w:shd w:val="clear" w:color="auto" w:fill="E6ECF8"/>
          </w:tcPr>
          <w:p>
            <w:pPr>
              <w:spacing w:after="0"/>
              <w:rPr>
                <w:sz w:val="13"/>
                <w:szCs w:val="13"/>
                <w:color w:val="auto"/>
              </w:rPr>
            </w:pPr>
          </w:p>
        </w:tc>
        <w:tc>
          <w:tcPr>
            <w:tcW w:w="4360" w:type="dxa"/>
            <w:vAlign w:val="bottom"/>
            <w:shd w:val="clear" w:color="auto" w:fill="E6ECF8"/>
          </w:tcPr>
          <w:p>
            <w:pPr>
              <w:ind w:left="780"/>
              <w:spacing w:after="0"/>
              <w:rPr>
                <w:sz w:val="20"/>
                <w:szCs w:val="20"/>
                <w:color w:val="auto"/>
              </w:rPr>
            </w:pPr>
            <w:r>
              <w:rPr>
                <w:rFonts w:ascii="Arial" w:cs="Arial" w:eastAsia="Arial" w:hAnsi="Arial"/>
                <w:sz w:val="13"/>
                <w:szCs w:val="13"/>
                <w:color w:val="auto"/>
              </w:rPr>
              <w:t>decrease in the number of shares underlying the</w:t>
            </w:r>
          </w:p>
        </w:tc>
        <w:tc>
          <w:tcPr>
            <w:tcW w:w="3780" w:type="dxa"/>
            <w:vAlign w:val="bottom"/>
            <w:shd w:val="clear" w:color="auto" w:fill="E6ECF8"/>
          </w:tcPr>
          <w:p>
            <w:pPr>
              <w:ind w:left="480"/>
              <w:spacing w:after="0"/>
              <w:rPr>
                <w:sz w:val="20"/>
                <w:szCs w:val="20"/>
                <w:color w:val="auto"/>
              </w:rPr>
            </w:pPr>
            <w:r>
              <w:rPr>
                <w:rFonts w:ascii="Arial" w:cs="Arial" w:eastAsia="Arial" w:hAnsi="Arial"/>
                <w:sz w:val="13"/>
                <w:szCs w:val="13"/>
                <w:color w:val="auto"/>
              </w:rPr>
              <w:t>December 2013 and December 2014)</w:t>
            </w:r>
          </w:p>
        </w:tc>
      </w:tr>
      <w:tr>
        <w:trPr>
          <w:trHeight w:val="152"/>
        </w:trPr>
        <w:tc>
          <w:tcPr>
            <w:tcW w:w="3280" w:type="dxa"/>
            <w:vAlign w:val="bottom"/>
            <w:shd w:val="clear" w:color="auto" w:fill="E6ECF8"/>
          </w:tcPr>
          <w:p>
            <w:pPr>
              <w:spacing w:after="0"/>
              <w:rPr>
                <w:sz w:val="13"/>
                <w:szCs w:val="13"/>
                <w:color w:val="auto"/>
              </w:rPr>
            </w:pPr>
          </w:p>
        </w:tc>
        <w:tc>
          <w:tcPr>
            <w:tcW w:w="4360" w:type="dxa"/>
            <w:vAlign w:val="bottom"/>
            <w:shd w:val="clear" w:color="auto" w:fill="E6ECF8"/>
          </w:tcPr>
          <w:p>
            <w:pPr>
              <w:ind w:left="780"/>
              <w:spacing w:after="0"/>
              <w:rPr>
                <w:sz w:val="20"/>
                <w:szCs w:val="20"/>
                <w:color w:val="auto"/>
              </w:rPr>
            </w:pPr>
            <w:r>
              <w:rPr>
                <w:rFonts w:ascii="Arial" w:cs="Arial" w:eastAsia="Arial" w:hAnsi="Arial"/>
                <w:sz w:val="13"/>
                <w:szCs w:val="13"/>
                <w:color w:val="auto"/>
              </w:rPr>
              <w:t>annual stock option awards to our CEO, CSO, CFO,</w:t>
            </w:r>
          </w:p>
        </w:tc>
        <w:tc>
          <w:tcPr>
            <w:tcW w:w="3780" w:type="dxa"/>
            <w:vAlign w:val="bottom"/>
            <w:shd w:val="clear" w:color="auto" w:fill="E6ECF8"/>
          </w:tcPr>
          <w:p>
            <w:pPr>
              <w:spacing w:after="0"/>
              <w:rPr>
                <w:sz w:val="13"/>
                <w:szCs w:val="13"/>
                <w:color w:val="auto"/>
              </w:rPr>
            </w:pPr>
          </w:p>
        </w:tc>
      </w:tr>
      <w:tr>
        <w:trPr>
          <w:trHeight w:val="147"/>
        </w:trPr>
        <w:tc>
          <w:tcPr>
            <w:tcW w:w="3280" w:type="dxa"/>
            <w:vAlign w:val="bottom"/>
            <w:tcBorders>
              <w:bottom w:val="single" w:sz="8" w:color="5668B0"/>
            </w:tcBorders>
            <w:shd w:val="clear" w:color="auto" w:fill="E6ECF8"/>
          </w:tcPr>
          <w:p>
            <w:pPr>
              <w:spacing w:after="0"/>
              <w:rPr>
                <w:sz w:val="12"/>
                <w:szCs w:val="12"/>
                <w:color w:val="auto"/>
              </w:rPr>
            </w:pPr>
          </w:p>
        </w:tc>
        <w:tc>
          <w:tcPr>
            <w:tcW w:w="4360" w:type="dxa"/>
            <w:vAlign w:val="bottom"/>
            <w:tcBorders>
              <w:bottom w:val="single" w:sz="8" w:color="5668B0"/>
            </w:tcBorders>
            <w:shd w:val="clear" w:color="auto" w:fill="E6ECF8"/>
          </w:tcPr>
          <w:p>
            <w:pPr>
              <w:ind w:left="780"/>
              <w:spacing w:after="0" w:line="148" w:lineRule="exact"/>
              <w:rPr>
                <w:sz w:val="20"/>
                <w:szCs w:val="20"/>
                <w:color w:val="auto"/>
              </w:rPr>
            </w:pPr>
            <w:r>
              <w:rPr>
                <w:rFonts w:ascii="Arial" w:cs="Arial" w:eastAsia="Arial" w:hAnsi="Arial"/>
                <w:sz w:val="13"/>
                <w:szCs w:val="13"/>
                <w:color w:val="auto"/>
              </w:rPr>
              <w:t>and EVP, Research &amp; Development</w:t>
            </w:r>
          </w:p>
        </w:tc>
        <w:tc>
          <w:tcPr>
            <w:tcW w:w="3780" w:type="dxa"/>
            <w:vAlign w:val="bottom"/>
            <w:tcBorders>
              <w:bottom w:val="single" w:sz="8" w:color="5668B0"/>
            </w:tcBorders>
            <w:shd w:val="clear" w:color="auto" w:fill="E6ECF8"/>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5510" cy="4819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5510" cy="481965"/>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p>
      <w:pPr>
        <w:spacing w:after="0" w:line="4" w:lineRule="exact"/>
        <w:rPr>
          <w:sz w:val="20"/>
          <w:szCs w:val="20"/>
          <w:color w:val="auto"/>
        </w:rPr>
      </w:pPr>
    </w:p>
    <w:p>
      <w:pPr>
        <w:spacing w:after="0"/>
        <w:tabs>
          <w:tab w:leader="none" w:pos="4040" w:val="left"/>
        </w:tabs>
        <w:rPr>
          <w:sz w:val="20"/>
          <w:szCs w:val="20"/>
          <w:color w:val="auto"/>
        </w:rPr>
      </w:pPr>
      <w:r>
        <w:rPr>
          <w:rFonts w:ascii="Arial" w:cs="Arial" w:eastAsia="Arial" w:hAnsi="Arial"/>
          <w:sz w:val="13"/>
          <w:szCs w:val="13"/>
          <w:color w:val="auto"/>
        </w:rPr>
        <w:t>Concern about burn rate</w:t>
      </w:r>
      <w:r>
        <w:rPr>
          <w:sz w:val="20"/>
          <w:szCs w:val="20"/>
          <w:color w:val="auto"/>
        </w:rPr>
        <w:tab/>
      </w:r>
      <w:r>
        <w:rPr>
          <w:rFonts w:ascii="Arial" w:cs="Arial" w:eastAsia="Arial" w:hAnsi="Arial"/>
          <w:sz w:val="13"/>
          <w:szCs w:val="13"/>
          <w:color w:val="auto"/>
        </w:rPr>
        <w:t>Implemented across-the-board decrease in the number</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of shares underlying employee annual stock option</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awards; maintained a three-year burn rate average of</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4.1% despite a 121% increase in the number of</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employees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255510" cy="2006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551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60"/>
        <w:spacing w:after="0" w:line="263" w:lineRule="auto"/>
        <w:rPr>
          <w:sz w:val="20"/>
          <w:szCs w:val="20"/>
          <w:color w:val="auto"/>
        </w:rPr>
      </w:pPr>
      <w:r>
        <w:rPr>
          <w:rFonts w:ascii="Arial" w:cs="Arial" w:eastAsia="Arial" w:hAnsi="Arial"/>
          <w:sz w:val="13"/>
          <w:szCs w:val="13"/>
          <w:color w:val="auto"/>
        </w:rPr>
        <w:t>December 2015 (earlier reductions implemented in December 2013 and December 2014)</w:t>
      </w:r>
    </w:p>
    <w:p>
      <w:pPr>
        <w:spacing w:after="0" w:line="444" w:lineRule="exact"/>
        <w:rPr>
          <w:sz w:val="20"/>
          <w:szCs w:val="20"/>
          <w:color w:val="auto"/>
        </w:rPr>
      </w:pPr>
    </w:p>
    <w:p>
      <w:pPr>
        <w:sectPr>
          <w:pgSz w:w="11900" w:h="16838" w:orient="portrait"/>
          <w:cols w:equalWidth="0" w:num="2">
            <w:col w:w="7400" w:space="720"/>
            <w:col w:w="3400"/>
          </w:cols>
          <w:pgMar w:left="240" w:top="120" w:right="139" w:bottom="1440" w:gutter="0" w:footer="0" w:header="0"/>
          <w:type w:val="continuous"/>
        </w:sectPr>
      </w:pPr>
    </w:p>
    <w:p>
      <w:pPr>
        <w:ind w:right="340"/>
        <w:spacing w:after="0" w:line="263" w:lineRule="auto"/>
        <w:rPr>
          <w:sz w:val="20"/>
          <w:szCs w:val="20"/>
          <w:color w:val="auto"/>
        </w:rPr>
      </w:pPr>
      <w:r>
        <w:rPr>
          <w:rFonts w:ascii="Arial" w:cs="Arial" w:eastAsia="Arial" w:hAnsi="Arial"/>
          <w:sz w:val="13"/>
          <w:szCs w:val="13"/>
          <w:color w:val="auto"/>
        </w:rPr>
        <w:t>Continue to implement corporate governance best practices</w:t>
      </w:r>
    </w:p>
    <w:p>
      <w:pPr>
        <w:spacing w:after="0" w:line="20" w:lineRule="exact"/>
        <w:rPr>
          <w:sz w:val="20"/>
          <w:szCs w:val="20"/>
          <w:color w:val="auto"/>
        </w:rPr>
      </w:pPr>
      <w:r>
        <w:rPr>
          <w:sz w:val="20"/>
          <w:szCs w:val="20"/>
          <w:color w:val="auto"/>
        </w:rPr>
        <w:br w:type="column"/>
      </w:r>
    </w:p>
    <w:p>
      <w:pPr>
        <w:spacing w:after="0"/>
        <w:tabs>
          <w:tab w:leader="none" w:pos="4040" w:val="left"/>
        </w:tabs>
        <w:rPr>
          <w:sz w:val="20"/>
          <w:szCs w:val="20"/>
          <w:color w:val="auto"/>
        </w:rPr>
      </w:pPr>
      <w:r>
        <w:rPr>
          <w:rFonts w:ascii="Arial" w:cs="Arial" w:eastAsia="Arial" w:hAnsi="Arial"/>
          <w:sz w:val="13"/>
          <w:szCs w:val="13"/>
          <w:color w:val="auto"/>
        </w:rPr>
        <w:t>Adopted majority voting standard in the election of</w:t>
      </w:r>
      <w:r>
        <w:rPr>
          <w:sz w:val="20"/>
          <w:szCs w:val="20"/>
          <w:color w:val="auto"/>
        </w:rPr>
        <w:tab/>
      </w:r>
      <w:r>
        <w:rPr>
          <w:rFonts w:ascii="Arial" w:cs="Arial" w:eastAsia="Arial" w:hAnsi="Arial"/>
          <w:sz w:val="13"/>
          <w:szCs w:val="13"/>
          <w:color w:val="auto"/>
        </w:rPr>
        <w:t>January 2016</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-635</wp:posOffset>
            </wp:positionV>
            <wp:extent cx="72555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3340" w:space="720"/>
            <w:col w:w="7460"/>
          </w:cols>
          <w:pgMar w:left="240" w:top="120" w:right="1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Consideration of Risk in Company Compensation Policies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regularly reviews the Company's compensation and benefits programs, including its executive compensation program and its incentive based compensation programs for commercial personnel. Our compensation and governance-related policies are further enhanced by our stock ownership guidelines applicable to our senior officers and our policy regarding recoupment or reduction of incentive compensation of our officers and other specified employees for compliance violations, as well as a policy against hedging and pledging of our securities by our directors and employees, including the Named Officers. We have also adopted a policy against including excise tax gross-up provisions with respect to payments contingent upon a change in control of Regeneron in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both"/>
        <w:ind w:right="100"/>
        <w:spacing w:after="0" w:line="249" w:lineRule="auto"/>
        <w:rPr>
          <w:sz w:val="20"/>
          <w:szCs w:val="20"/>
          <w:color w:val="auto"/>
        </w:rPr>
      </w:pPr>
      <w:r>
        <w:rPr>
          <w:rFonts w:ascii="Arial" w:cs="Arial" w:eastAsia="Arial" w:hAnsi="Arial"/>
          <w:sz w:val="16"/>
          <w:szCs w:val="16"/>
          <w:color w:val="auto"/>
        </w:rPr>
        <w:t>contracts, compensatory plans, or other arrangements with the Company's executive officers, including the Named Officers (other than the existing employment agreement with our Chief Executive Officer or any amendments thereto, which we expressly exempted). These policies evidence Regeneron's continued commitment to robust corporate governance and are meant to reduce compensation-related risks and ensure greater alignment of the interests of our employees, including the Named Officers, and those of the Company and our shareholders.</w:t>
      </w:r>
    </w:p>
    <w:p>
      <w:pPr>
        <w:spacing w:after="0" w:line="194"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We believe that the Company's programs balance risk and potential reward in a manner that is appropriate to the Company's circumstances and in the best interests of the Company's shareholders over the long term. We also believe that</w:t>
      </w:r>
    </w:p>
    <w:p>
      <w:pPr>
        <w:spacing w:after="0" w:line="200" w:lineRule="exact"/>
        <w:rPr>
          <w:sz w:val="20"/>
          <w:szCs w:val="20"/>
          <w:color w:val="auto"/>
        </w:rPr>
      </w:pPr>
    </w:p>
    <w:p>
      <w:pPr>
        <w:sectPr>
          <w:pgSz w:w="11900" w:h="16838" w:orient="portrait"/>
          <w:cols w:equalWidth="0" w:num="2">
            <w:col w:w="5380" w:space="680"/>
            <w:col w:w="5460"/>
          </w:cols>
          <w:pgMar w:left="240" w:top="120" w:right="139" w:bottom="1440" w:gutter="0" w:footer="0" w:header="0"/>
          <w:type w:val="continuous"/>
        </w:sect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53</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Company's compensation and benefits programs do not create risks that are reasonably likely to have a material adverse effect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Tax Implications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Section 162(m) of the Internal Revenue Code limits the deductibility for federal income tax purposes of compensation in any year paid to the Chief Executive Officer and the other Named Officers (other than the Chief Financial Officer) to the extent such compensation exceeds $1 million and does not qualify as "performance-based" compensation as defined under Section 162(m) of the Internal Revenue Code. The Company has adopted (and the shareholders approved at the 2015 annual shareholder meeting) the Regeneron Pharmaceuticals, Inc. Cash Incentive Bonus Plan. Awards under the Plan (as well as awards under the previously approved Regeneron Pharmaceuticals, Inc. 2014 Long-Term Incentive Plan) may, but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are not required to, be subject to the attainment of performance goals in order to qualify for this performance-based compensation exception. The Compensation Committee has implemented the Cash Incentive Bonus Plan for annual cash bonuses of the Named Officers in respect of performance in 2016.</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takes into account the deductibility of compensation in determining Named Officer compensation. However, the Compensation Committee reserves the right to use its judgment to authorize compensation payments that are not deductible, such as when the Compensation Committee believes that such payments are necessary to maintain the flexibility needed to attract talent, promote executive retention, or reward performance, or as required to comply with the Company's contractual commitments. As noted above, compensation attributable to stock options generally qualifies as "performance-based" compensation and, as such, receives favorable treatment under Section 162(m) of the Internal Revenue Code.</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5668B0"/>
        </w:rPr>
        <w:t>Section 4 – 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currently has five components:</w:t>
      </w:r>
    </w:p>
    <w:p>
      <w:pPr>
        <w:spacing w:after="0" w:line="208" w:lineRule="exact"/>
        <w:rPr>
          <w:sz w:val="20"/>
          <w:szCs w:val="20"/>
          <w:color w:val="auto"/>
        </w:rPr>
      </w:pPr>
    </w:p>
    <w:p>
      <w:pPr>
        <w:ind w:left="500" w:hanging="499"/>
        <w:spacing w:after="0"/>
        <w:tabs>
          <w:tab w:leader="none" w:pos="500" w:val="left"/>
        </w:tabs>
        <w:numPr>
          <w:ilvl w:val="0"/>
          <w:numId w:val="85"/>
        </w:numPr>
        <w:rPr>
          <w:rFonts w:ascii="Arial" w:cs="Arial" w:eastAsia="Arial" w:hAnsi="Arial"/>
          <w:sz w:val="16"/>
          <w:szCs w:val="16"/>
          <w:color w:val="5668B0"/>
        </w:rPr>
      </w:pPr>
      <w:r>
        <w:rPr>
          <w:rFonts w:ascii="Arial" w:cs="Arial" w:eastAsia="Arial" w:hAnsi="Arial"/>
          <w:sz w:val="16"/>
          <w:szCs w:val="16"/>
          <w:color w:val="auto"/>
        </w:rPr>
        <w:t>base salary;</w:t>
      </w:r>
    </w:p>
    <w:p>
      <w:pPr>
        <w:spacing w:after="0" w:line="208" w:lineRule="exact"/>
        <w:rPr>
          <w:rFonts w:ascii="Arial" w:cs="Arial" w:eastAsia="Arial" w:hAnsi="Arial"/>
          <w:sz w:val="16"/>
          <w:szCs w:val="16"/>
          <w:color w:val="5668B0"/>
        </w:rPr>
      </w:pPr>
    </w:p>
    <w:p>
      <w:pPr>
        <w:ind w:left="500" w:hanging="499"/>
        <w:spacing w:after="0"/>
        <w:tabs>
          <w:tab w:leader="none" w:pos="500" w:val="left"/>
        </w:tabs>
        <w:numPr>
          <w:ilvl w:val="0"/>
          <w:numId w:val="85"/>
        </w:numPr>
        <w:rPr>
          <w:rFonts w:ascii="Arial" w:cs="Arial" w:eastAsia="Arial" w:hAnsi="Arial"/>
          <w:sz w:val="16"/>
          <w:szCs w:val="16"/>
          <w:color w:val="5668B0"/>
        </w:rPr>
      </w:pPr>
      <w:r>
        <w:rPr>
          <w:rFonts w:ascii="Arial" w:cs="Arial" w:eastAsia="Arial" w:hAnsi="Arial"/>
          <w:sz w:val="16"/>
          <w:szCs w:val="16"/>
          <w:color w:val="auto"/>
        </w:rPr>
        <w:t>annual cash bonus;</w:t>
      </w:r>
    </w:p>
    <w:p>
      <w:pPr>
        <w:spacing w:after="0" w:line="195" w:lineRule="exact"/>
        <w:rPr>
          <w:rFonts w:ascii="Arial" w:cs="Arial" w:eastAsia="Arial" w:hAnsi="Arial"/>
          <w:sz w:val="16"/>
          <w:szCs w:val="16"/>
          <w:color w:val="5668B0"/>
        </w:rPr>
      </w:pPr>
    </w:p>
    <w:p>
      <w:pPr>
        <w:ind w:left="500" w:hanging="499"/>
        <w:spacing w:after="0"/>
        <w:tabs>
          <w:tab w:leader="none" w:pos="500" w:val="left"/>
        </w:tabs>
        <w:numPr>
          <w:ilvl w:val="0"/>
          <w:numId w:val="85"/>
        </w:numPr>
        <w:rPr>
          <w:rFonts w:ascii="Arial" w:cs="Arial" w:eastAsia="Arial" w:hAnsi="Arial"/>
          <w:sz w:val="16"/>
          <w:szCs w:val="16"/>
          <w:color w:val="5668B0"/>
        </w:rPr>
      </w:pPr>
      <w:r>
        <w:rPr>
          <w:rFonts w:ascii="Arial" w:cs="Arial" w:eastAsia="Arial" w:hAnsi="Arial"/>
          <w:sz w:val="16"/>
          <w:szCs w:val="16"/>
          <w:color w:val="auto"/>
        </w:rPr>
        <w:t>annual equity awards, typically consisting of stock options;</w:t>
      </w:r>
    </w:p>
    <w:p>
      <w:pPr>
        <w:spacing w:after="0" w:line="195" w:lineRule="exact"/>
        <w:rPr>
          <w:rFonts w:ascii="Arial" w:cs="Arial" w:eastAsia="Arial" w:hAnsi="Arial"/>
          <w:sz w:val="16"/>
          <w:szCs w:val="16"/>
          <w:color w:val="5668B0"/>
        </w:rPr>
      </w:pPr>
    </w:p>
    <w:p>
      <w:pPr>
        <w:ind w:left="500" w:hanging="499"/>
        <w:spacing w:after="0"/>
        <w:tabs>
          <w:tab w:leader="none" w:pos="500" w:val="left"/>
        </w:tabs>
        <w:numPr>
          <w:ilvl w:val="0"/>
          <w:numId w:val="85"/>
        </w:numPr>
        <w:rPr>
          <w:rFonts w:ascii="Arial" w:cs="Arial" w:eastAsia="Arial" w:hAnsi="Arial"/>
          <w:sz w:val="16"/>
          <w:szCs w:val="16"/>
          <w:color w:val="5668B0"/>
        </w:rPr>
      </w:pPr>
      <w:r>
        <w:rPr>
          <w:rFonts w:ascii="Arial" w:cs="Arial" w:eastAsia="Arial" w:hAnsi="Arial"/>
          <w:sz w:val="16"/>
          <w:szCs w:val="16"/>
          <w:color w:val="auto"/>
        </w:rPr>
        <w:t>certain perquisites and other personal benefits; and</w:t>
      </w:r>
    </w:p>
    <w:p>
      <w:pPr>
        <w:spacing w:after="0" w:line="208" w:lineRule="exact"/>
        <w:rPr>
          <w:rFonts w:ascii="Arial" w:cs="Arial" w:eastAsia="Arial" w:hAnsi="Arial"/>
          <w:sz w:val="16"/>
          <w:szCs w:val="16"/>
          <w:color w:val="5668B0"/>
        </w:rPr>
      </w:pPr>
    </w:p>
    <w:p>
      <w:pPr>
        <w:ind w:left="500" w:hanging="499"/>
        <w:spacing w:after="0"/>
        <w:tabs>
          <w:tab w:leader="none" w:pos="500" w:val="left"/>
        </w:tabs>
        <w:numPr>
          <w:ilvl w:val="0"/>
          <w:numId w:val="85"/>
        </w:numPr>
        <w:rPr>
          <w:rFonts w:ascii="Arial" w:cs="Arial" w:eastAsia="Arial" w:hAnsi="Arial"/>
          <w:sz w:val="16"/>
          <w:szCs w:val="16"/>
          <w:color w:val="5668B0"/>
        </w:rPr>
      </w:pPr>
      <w:r>
        <w:rPr>
          <w:rFonts w:ascii="Arial" w:cs="Arial" w:eastAsia="Arial" w:hAnsi="Arial"/>
          <w:sz w:val="16"/>
          <w:szCs w:val="16"/>
          <w:color w:val="auto"/>
        </w:rPr>
        <w:t>potential severance benefits.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Base Salary</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provide the Named Officers and other employees with base salary to compensate them for services rendered during the fiscal year and provide them with a regular monthly income. In determining base salaries for our Named Officers, the Compensation Committee considers the executive's scope of responsibilities, experience, annual performance, and future potential or role in future success. The Compensation Committee also considers base salaries for comparable positions in our geographic region, competitive salary practices of companies in the Peer Group and the broader biopharmaceutical industry, and annual inflation levels.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each of 2015 and 2016, each of the Named Officers received a merit increase of 3.5% of his 2014 and 2015 base salary, respectively (which were in addition to the other increases discussed for the Named Officers below). In addition, for 2015, Dr. Schleifer received a base salary increase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$91,300, which aligned his base salary with that of the median of the companies included in the 2014 Radford Global Life Sciences Survey and below the median of the Peer Group (as in effect in 2014), and Dr. Yancopoulos received a base salary increase of $77,600 to set his base salary at 85% of Dr. Schleifer's. Dr. Yancopoulos's cash compensation, including base salary, is set at 85% of Dr. Schleifer's, which we believe is more appropriate for him in light of the absence of meaningful comparative data for similarly situated executives. Further, for 2015, Dr. Stahl received a $39,200 base salary increase in connection with his promotion to Executive Vice President, Research and Development and Mr. Terifay received a $50,000 base salary increase, in each case to better align his base salary with relevant industry comparative information. For 2016, Dr. Stahl and Mr. Landry received a $50,000 base salary increase each in order to better align their base salaries with relevant industry comparative information. The determinations regarding the 2015 and 2016 merit increases were based on broad-based national data for high-performing, larger biotechnology companies. In each of 2015 and 2016, the base salaries of the Named Officers were set at or below the median of the Peer Group (other than with respect to Dr. Yancopoulos, whose cash compensation, including base salary, is set at 85% of Dr. Schleifer's (as noted above)).</w:t>
      </w:r>
    </w:p>
    <w:p>
      <w:pPr>
        <w:spacing w:after="0" w:line="1990"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98" w:lineRule="exact"/>
        <w:rPr>
          <w:sz w:val="20"/>
          <w:szCs w:val="20"/>
          <w:color w:val="auto"/>
        </w:rPr>
      </w:pPr>
    </w:p>
    <w:p>
      <w:pPr>
        <w:ind w:left="1160" w:hanging="744"/>
        <w:spacing w:after="0"/>
        <w:tabs>
          <w:tab w:leader="none" w:pos="1160" w:val="left"/>
        </w:tabs>
        <w:numPr>
          <w:ilvl w:val="0"/>
          <w:numId w:val="8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Annual Cash Bonus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It has been our practice to offer annual cash bonus opportunities to our Named Officers. The Compensation Committee focuses exclusively on our overall corporate performance when determining the annual cash bonus for our Chief Executive Officer and Chief Scientific Officer. The cash bonuses of the other Named Officers are based both on overall corporate performance and their individual contributions and performances during the year. We historically had no formal bonus plan and the award of any bonus to a Named Officer was based on an assessment of corporate and, in the case of Named Officers other than Dr. Schleifer, individual performance. We believe that this approach, rather than working from a rigid bonus formula or plan, was beneficial given the growth trajectory of the Company and its rapid transformation over the past few years from a development-stage company to a fully integrated, commercial-stage biopharmaceutical company. In 2015, the Company adopted, and the shareholders approved, the Regeneron Pharmaceuticals, Inc. Cash Incentive Bonus Plan. The Compensation Committee has implemented the Cash Incentive Bonus Plan for annual cash bonuses of the Named Officers in respect of performance in 2016.</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2015 cash bonus target for the Chief Executive Officer was 100% of his base salary. In December 2015, the board of directors approved an increase in the Chief Executive Officer's cash bonus target to 120% of his base salary to bring Dr. Schleifer's target annual cash compensation to the median of the companies included in the 2015 Radford Global Life Sciences Survey. For 2016, Dr. Schleifer's target cash compensation remained below the median of the Peer Group. Consistent with Regeneron's historical practice, the increase was given effect in the calculation of Dr. Schleifer's cash bonus paid in respect of 2015. The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recommended 2015 target bonuses for the other Named Officers, which were reviewed and approved by the Compensation Committee. In December 2015, the Compensation Committee increased the cash bonus target for Mr. Landry and Mr. Terifay to 50% and 60% of their respective base salaries; consistent with Regeneron's historical practice, these increases were given effect in the calculation of their cash bonuses paid in respect of 2015. In determining the cash bonus targets for 2015 for Mr. Landry, Dr. Stahl, and Mr. Terifay, the Compensation Committee took into consideration the compensation of similarly situated executive officers at companies in the Peer Group and, in the case of Mr. Terifay, also his promotion to Executive Vice President, Commercial.</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determining the cash bonus target for Dr. Yancopoulos, the Compensation Committee took into consideration the importance of his scientific leadership as President of Regeneron Laboratories and Chief Scientific Officer and the significant contributions he has made to the success of the Company and, specifically, to the discovery and development of the Company's commercial products, its pipeline of internally developed product candidates, and its platform technologies.</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determined that for Dr. Yancopoulos there were no meaningful comparative data relating to similarly situated executives and that his base salary, cash bonus, and annual stock option awards would be set at 85% of Dr. Schleifer's. The 2015 cash bonus target for Dr. Yancopoulos was 120% of his base salary (increased in connection with the increase of Dr. Schleifer's cash bonus target as described above). These cash bonus targets are consistent with the Company's emphasis on performance-based compensation and are set at or below the median of the Peer Group (other than with respect to Dr. Yancopoulos, whose cash compensation, including cash bonus, is set at 85% of Dr. Schleifer's).</w:t>
      </w:r>
    </w:p>
    <w:p>
      <w:pPr>
        <w:spacing w:after="0" w:line="389"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2015, our Named Officers were awarded the following cash bonuses, which were paid in January 2016.</w:t>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156"/>
        </w:trPr>
        <w:tc>
          <w:tcPr>
            <w:tcW w:w="3300" w:type="dxa"/>
            <w:vAlign w:val="bottom"/>
            <w:shd w:val="clear" w:color="auto" w:fill="5668B0"/>
          </w:tcPr>
          <w:p>
            <w:pPr>
              <w:spacing w:after="0"/>
              <w:rPr>
                <w:sz w:val="13"/>
                <w:szCs w:val="13"/>
                <w:color w:val="auto"/>
              </w:rPr>
            </w:pPr>
          </w:p>
        </w:tc>
        <w:tc>
          <w:tcPr>
            <w:tcW w:w="1420" w:type="dxa"/>
            <w:vAlign w:val="bottom"/>
            <w:shd w:val="clear" w:color="auto" w:fill="5668B0"/>
          </w:tcPr>
          <w:p>
            <w:pPr>
              <w:jc w:val="right"/>
              <w:ind w:right="233"/>
              <w:spacing w:after="0"/>
              <w:rPr>
                <w:sz w:val="20"/>
                <w:szCs w:val="20"/>
                <w:color w:val="auto"/>
              </w:rPr>
            </w:pPr>
            <w:r>
              <w:rPr>
                <w:rFonts w:ascii="Arial" w:cs="Arial" w:eastAsia="Arial" w:hAnsi="Arial"/>
                <w:sz w:val="13"/>
                <w:szCs w:val="13"/>
                <w:color w:val="FFFFFE"/>
              </w:rPr>
              <w:t>Bonus Target</w:t>
            </w:r>
          </w:p>
        </w:tc>
        <w:tc>
          <w:tcPr>
            <w:tcW w:w="1360" w:type="dxa"/>
            <w:vAlign w:val="bottom"/>
            <w:shd w:val="clear" w:color="auto" w:fill="5668B0"/>
          </w:tcPr>
          <w:p>
            <w:pPr>
              <w:jc w:val="right"/>
              <w:ind w:right="233"/>
              <w:spacing w:after="0"/>
              <w:rPr>
                <w:sz w:val="20"/>
                <w:szCs w:val="20"/>
                <w:color w:val="auto"/>
              </w:rPr>
            </w:pPr>
            <w:r>
              <w:rPr>
                <w:rFonts w:ascii="Arial" w:cs="Arial" w:eastAsia="Arial" w:hAnsi="Arial"/>
                <w:sz w:val="13"/>
                <w:szCs w:val="13"/>
                <w:color w:val="FFFFFE"/>
              </w:rPr>
              <w:t>Personal</w:t>
            </w:r>
          </w:p>
        </w:tc>
        <w:tc>
          <w:tcPr>
            <w:tcW w:w="1360" w:type="dxa"/>
            <w:vAlign w:val="bottom"/>
            <w:shd w:val="clear" w:color="auto" w:fill="5668B0"/>
          </w:tcPr>
          <w:p>
            <w:pPr>
              <w:jc w:val="right"/>
              <w:ind w:right="213"/>
              <w:spacing w:after="0"/>
              <w:rPr>
                <w:sz w:val="20"/>
                <w:szCs w:val="20"/>
                <w:color w:val="auto"/>
              </w:rPr>
            </w:pPr>
            <w:r>
              <w:rPr>
                <w:rFonts w:ascii="Arial" w:cs="Arial" w:eastAsia="Arial" w:hAnsi="Arial"/>
                <w:sz w:val="13"/>
                <w:szCs w:val="13"/>
                <w:color w:val="FFFFFE"/>
              </w:rPr>
              <w:t>Company</w:t>
            </w:r>
          </w:p>
        </w:tc>
        <w:tc>
          <w:tcPr>
            <w:tcW w:w="1140" w:type="dxa"/>
            <w:vAlign w:val="bottom"/>
            <w:shd w:val="clear" w:color="auto" w:fill="5668B0"/>
          </w:tcPr>
          <w:p>
            <w:pPr>
              <w:spacing w:after="0"/>
              <w:rPr>
                <w:sz w:val="13"/>
                <w:szCs w:val="13"/>
                <w:color w:val="auto"/>
              </w:rPr>
            </w:pPr>
          </w:p>
        </w:tc>
      </w:tr>
      <w:tr>
        <w:trPr>
          <w:trHeight w:val="152"/>
        </w:trPr>
        <w:tc>
          <w:tcPr>
            <w:tcW w:w="3300" w:type="dxa"/>
            <w:vAlign w:val="bottom"/>
            <w:shd w:val="clear" w:color="auto" w:fill="5668B0"/>
          </w:tcPr>
          <w:p>
            <w:pPr>
              <w:spacing w:after="0"/>
              <w:rPr>
                <w:sz w:val="13"/>
                <w:szCs w:val="13"/>
                <w:color w:val="auto"/>
              </w:rPr>
            </w:pPr>
          </w:p>
        </w:tc>
        <w:tc>
          <w:tcPr>
            <w:tcW w:w="1420" w:type="dxa"/>
            <w:vAlign w:val="bottom"/>
            <w:shd w:val="clear" w:color="auto" w:fill="5668B0"/>
          </w:tcPr>
          <w:p>
            <w:pPr>
              <w:jc w:val="right"/>
              <w:ind w:right="233"/>
              <w:spacing w:after="0"/>
              <w:rPr>
                <w:sz w:val="20"/>
                <w:szCs w:val="20"/>
                <w:color w:val="auto"/>
              </w:rPr>
            </w:pPr>
            <w:r>
              <w:rPr>
                <w:rFonts w:ascii="Arial" w:cs="Arial" w:eastAsia="Arial" w:hAnsi="Arial"/>
                <w:sz w:val="13"/>
                <w:szCs w:val="13"/>
                <w:color w:val="FFFFFE"/>
              </w:rPr>
              <w:t>(as percentage</w:t>
            </w:r>
          </w:p>
        </w:tc>
        <w:tc>
          <w:tcPr>
            <w:tcW w:w="1360" w:type="dxa"/>
            <w:vAlign w:val="bottom"/>
            <w:shd w:val="clear" w:color="auto" w:fill="5668B0"/>
          </w:tcPr>
          <w:p>
            <w:pPr>
              <w:jc w:val="right"/>
              <w:ind w:right="233"/>
              <w:spacing w:after="0"/>
              <w:rPr>
                <w:sz w:val="20"/>
                <w:szCs w:val="20"/>
                <w:color w:val="auto"/>
              </w:rPr>
            </w:pPr>
            <w:r>
              <w:rPr>
                <w:rFonts w:ascii="Arial" w:cs="Arial" w:eastAsia="Arial" w:hAnsi="Arial"/>
                <w:sz w:val="13"/>
                <w:szCs w:val="13"/>
                <w:color w:val="FFFFFE"/>
              </w:rPr>
              <w:t>Performance</w:t>
            </w:r>
          </w:p>
        </w:tc>
        <w:tc>
          <w:tcPr>
            <w:tcW w:w="1360" w:type="dxa"/>
            <w:vAlign w:val="bottom"/>
            <w:shd w:val="clear" w:color="auto" w:fill="5668B0"/>
          </w:tcPr>
          <w:p>
            <w:pPr>
              <w:jc w:val="right"/>
              <w:ind w:right="213"/>
              <w:spacing w:after="0"/>
              <w:rPr>
                <w:sz w:val="20"/>
                <w:szCs w:val="20"/>
                <w:color w:val="auto"/>
              </w:rPr>
            </w:pPr>
            <w:r>
              <w:rPr>
                <w:rFonts w:ascii="Arial" w:cs="Arial" w:eastAsia="Arial" w:hAnsi="Arial"/>
                <w:sz w:val="13"/>
                <w:szCs w:val="13"/>
                <w:color w:val="FFFFFE"/>
              </w:rPr>
              <w:t>Performance</w:t>
            </w:r>
          </w:p>
        </w:tc>
        <w:tc>
          <w:tcPr>
            <w:tcW w:w="1140" w:type="dxa"/>
            <w:vAlign w:val="bottom"/>
            <w:shd w:val="clear" w:color="auto" w:fill="5668B0"/>
          </w:tcPr>
          <w:p>
            <w:pPr>
              <w:jc w:val="right"/>
              <w:ind w:right="176"/>
              <w:spacing w:after="0"/>
              <w:rPr>
                <w:sz w:val="20"/>
                <w:szCs w:val="20"/>
                <w:color w:val="auto"/>
              </w:rPr>
            </w:pPr>
            <w:r>
              <w:rPr>
                <w:rFonts w:ascii="Arial" w:cs="Arial" w:eastAsia="Arial" w:hAnsi="Arial"/>
                <w:sz w:val="13"/>
                <w:szCs w:val="13"/>
                <w:color w:val="FFFFFE"/>
              </w:rPr>
              <w:t>Total Cash</w:t>
            </w:r>
          </w:p>
        </w:tc>
      </w:tr>
      <w:tr>
        <w:trPr>
          <w:trHeight w:val="147"/>
        </w:trPr>
        <w:tc>
          <w:tcPr>
            <w:tcW w:w="3300" w:type="dxa"/>
            <w:vAlign w:val="bottom"/>
            <w:shd w:val="clear" w:color="auto" w:fill="5668B0"/>
          </w:tcPr>
          <w:p>
            <w:pPr>
              <w:ind w:left="20"/>
              <w:spacing w:after="0" w:line="148" w:lineRule="exact"/>
              <w:rPr>
                <w:sz w:val="20"/>
                <w:szCs w:val="20"/>
                <w:color w:val="auto"/>
              </w:rPr>
            </w:pPr>
            <w:r>
              <w:rPr>
                <w:rFonts w:ascii="Arial" w:cs="Arial" w:eastAsia="Arial" w:hAnsi="Arial"/>
                <w:sz w:val="13"/>
                <w:szCs w:val="13"/>
                <w:color w:val="FFFFFE"/>
              </w:rPr>
              <w:t>Named Officer</w:t>
            </w:r>
          </w:p>
        </w:tc>
        <w:tc>
          <w:tcPr>
            <w:tcW w:w="1420" w:type="dxa"/>
            <w:vAlign w:val="bottom"/>
            <w:shd w:val="clear" w:color="auto" w:fill="5668B0"/>
          </w:tcPr>
          <w:p>
            <w:pPr>
              <w:jc w:val="right"/>
              <w:ind w:right="233"/>
              <w:spacing w:after="0" w:line="148" w:lineRule="exact"/>
              <w:rPr>
                <w:sz w:val="20"/>
                <w:szCs w:val="20"/>
                <w:color w:val="auto"/>
              </w:rPr>
            </w:pPr>
            <w:r>
              <w:rPr>
                <w:rFonts w:ascii="Arial" w:cs="Arial" w:eastAsia="Arial" w:hAnsi="Arial"/>
                <w:sz w:val="13"/>
                <w:szCs w:val="13"/>
                <w:color w:val="FFFFFE"/>
              </w:rPr>
              <w:t>of base salary)</w:t>
            </w:r>
          </w:p>
        </w:tc>
        <w:tc>
          <w:tcPr>
            <w:tcW w:w="1360" w:type="dxa"/>
            <w:vAlign w:val="bottom"/>
            <w:shd w:val="clear" w:color="auto" w:fill="5668B0"/>
          </w:tcPr>
          <w:p>
            <w:pPr>
              <w:jc w:val="right"/>
              <w:ind w:right="233"/>
              <w:spacing w:after="0" w:line="148" w:lineRule="exact"/>
              <w:rPr>
                <w:sz w:val="20"/>
                <w:szCs w:val="20"/>
                <w:color w:val="auto"/>
              </w:rPr>
            </w:pPr>
            <w:r>
              <w:rPr>
                <w:rFonts w:ascii="Arial" w:cs="Arial" w:eastAsia="Arial" w:hAnsi="Arial"/>
                <w:sz w:val="13"/>
                <w:szCs w:val="13"/>
                <w:color w:val="FFFFFE"/>
              </w:rPr>
              <w:t>Multiplier</w:t>
            </w:r>
          </w:p>
        </w:tc>
        <w:tc>
          <w:tcPr>
            <w:tcW w:w="1360" w:type="dxa"/>
            <w:vAlign w:val="bottom"/>
            <w:shd w:val="clear" w:color="auto" w:fill="5668B0"/>
          </w:tcPr>
          <w:p>
            <w:pPr>
              <w:jc w:val="right"/>
              <w:ind w:right="213"/>
              <w:spacing w:after="0" w:line="148" w:lineRule="exact"/>
              <w:rPr>
                <w:sz w:val="20"/>
                <w:szCs w:val="20"/>
                <w:color w:val="auto"/>
              </w:rPr>
            </w:pPr>
            <w:r>
              <w:rPr>
                <w:rFonts w:ascii="Arial" w:cs="Arial" w:eastAsia="Arial" w:hAnsi="Arial"/>
                <w:sz w:val="13"/>
                <w:szCs w:val="13"/>
                <w:color w:val="FFFFFE"/>
              </w:rPr>
              <w:t>Multiplier</w:t>
            </w:r>
          </w:p>
        </w:tc>
        <w:tc>
          <w:tcPr>
            <w:tcW w:w="1140" w:type="dxa"/>
            <w:vAlign w:val="bottom"/>
            <w:shd w:val="clear" w:color="auto" w:fill="5668B0"/>
          </w:tcPr>
          <w:p>
            <w:pPr>
              <w:jc w:val="right"/>
              <w:ind w:right="176"/>
              <w:spacing w:after="0" w:line="148" w:lineRule="exact"/>
              <w:rPr>
                <w:sz w:val="20"/>
                <w:szCs w:val="20"/>
                <w:color w:val="auto"/>
              </w:rPr>
            </w:pPr>
            <w:r>
              <w:rPr>
                <w:rFonts w:ascii="Arial" w:cs="Arial" w:eastAsia="Arial" w:hAnsi="Arial"/>
                <w:sz w:val="13"/>
                <w:szCs w:val="13"/>
                <w:color w:val="FFFFFE"/>
              </w:rPr>
              <w:t>Bonus ($)</w:t>
            </w:r>
          </w:p>
        </w:tc>
      </w:tr>
      <w:tr>
        <w:trPr>
          <w:trHeight w:val="152"/>
        </w:trPr>
        <w:tc>
          <w:tcPr>
            <w:tcW w:w="3300" w:type="dxa"/>
            <w:vAlign w:val="bottom"/>
            <w:shd w:val="clear" w:color="auto" w:fill="E6ECF8"/>
          </w:tcPr>
          <w:p>
            <w:pPr>
              <w:ind w:left="20"/>
              <w:spacing w:after="0"/>
              <w:rPr>
                <w:sz w:val="20"/>
                <w:szCs w:val="20"/>
                <w:color w:val="auto"/>
              </w:rPr>
            </w:pPr>
            <w:r>
              <w:rPr>
                <w:rFonts w:ascii="Arial" w:cs="Arial" w:eastAsia="Arial" w:hAnsi="Arial"/>
                <w:sz w:val="13"/>
                <w:szCs w:val="13"/>
                <w:color w:val="auto"/>
              </w:rPr>
              <w:t>Leonard S. Schleifer, M.D., Ph.D.</w:t>
            </w:r>
          </w:p>
        </w:tc>
        <w:tc>
          <w:tcPr>
            <w:tcW w:w="142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120%</w:t>
            </w:r>
          </w:p>
        </w:tc>
        <w:tc>
          <w:tcPr>
            <w:tcW w:w="13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n/a</w:t>
            </w:r>
          </w:p>
        </w:tc>
        <w:tc>
          <w:tcPr>
            <w:tcW w:w="1360" w:type="dxa"/>
            <w:vAlign w:val="bottom"/>
            <w:shd w:val="clear" w:color="auto" w:fill="E6ECF8"/>
          </w:tcPr>
          <w:p>
            <w:pPr>
              <w:jc w:val="right"/>
              <w:ind w:right="213"/>
              <w:spacing w:after="0"/>
              <w:rPr>
                <w:sz w:val="20"/>
                <w:szCs w:val="20"/>
                <w:color w:val="auto"/>
              </w:rPr>
            </w:pPr>
            <w:r>
              <w:rPr>
                <w:rFonts w:ascii="Arial" w:cs="Arial" w:eastAsia="Arial" w:hAnsi="Arial"/>
                <w:sz w:val="13"/>
                <w:szCs w:val="13"/>
                <w:color w:val="auto"/>
              </w:rPr>
              <w:t>2.0</w:t>
            </w:r>
          </w:p>
        </w:tc>
        <w:tc>
          <w:tcPr>
            <w:tcW w:w="1140" w:type="dxa"/>
            <w:vAlign w:val="bottom"/>
            <w:shd w:val="clear" w:color="auto" w:fill="E6ECF8"/>
          </w:tcPr>
          <w:p>
            <w:pPr>
              <w:jc w:val="right"/>
              <w:ind w:right="176"/>
              <w:spacing w:after="0"/>
              <w:rPr>
                <w:sz w:val="20"/>
                <w:szCs w:val="20"/>
                <w:color w:val="auto"/>
              </w:rPr>
            </w:pPr>
            <w:r>
              <w:rPr>
                <w:rFonts w:ascii="Arial" w:cs="Arial" w:eastAsia="Arial" w:hAnsi="Arial"/>
                <w:sz w:val="13"/>
                <w:szCs w:val="13"/>
                <w:color w:val="auto"/>
              </w:rPr>
              <w:t>2,880,000</w:t>
            </w:r>
          </w:p>
        </w:tc>
      </w:tr>
      <w:tr>
        <w:trPr>
          <w:trHeight w:val="152"/>
        </w:trPr>
        <w:tc>
          <w:tcPr>
            <w:tcW w:w="3300" w:type="dxa"/>
            <w:vAlign w:val="bottom"/>
            <w:shd w:val="clear" w:color="auto" w:fill="D0DBEF"/>
          </w:tcPr>
          <w:p>
            <w:pPr>
              <w:ind w:left="20"/>
              <w:spacing w:after="0"/>
              <w:rPr>
                <w:sz w:val="20"/>
                <w:szCs w:val="20"/>
                <w:color w:val="auto"/>
              </w:rPr>
            </w:pPr>
            <w:r>
              <w:rPr>
                <w:rFonts w:ascii="Arial" w:cs="Arial" w:eastAsia="Arial" w:hAnsi="Arial"/>
                <w:sz w:val="13"/>
                <w:szCs w:val="13"/>
                <w:color w:val="auto"/>
              </w:rPr>
              <w:t>George D. Yancopoulos, M.D., Ph.D.</w:t>
            </w:r>
          </w:p>
        </w:tc>
        <w:tc>
          <w:tcPr>
            <w:tcW w:w="142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120%</w:t>
            </w:r>
          </w:p>
        </w:tc>
        <w:tc>
          <w:tcPr>
            <w:tcW w:w="13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n/a</w:t>
            </w:r>
          </w:p>
        </w:tc>
        <w:tc>
          <w:tcPr>
            <w:tcW w:w="1360" w:type="dxa"/>
            <w:vAlign w:val="bottom"/>
            <w:shd w:val="clear" w:color="auto" w:fill="D0DBEF"/>
          </w:tcPr>
          <w:p>
            <w:pPr>
              <w:jc w:val="right"/>
              <w:ind w:right="213"/>
              <w:spacing w:after="0"/>
              <w:rPr>
                <w:sz w:val="20"/>
                <w:szCs w:val="20"/>
                <w:color w:val="auto"/>
              </w:rPr>
            </w:pPr>
            <w:r>
              <w:rPr>
                <w:rFonts w:ascii="Arial" w:cs="Arial" w:eastAsia="Arial" w:hAnsi="Arial"/>
                <w:sz w:val="13"/>
                <w:szCs w:val="13"/>
                <w:color w:val="auto"/>
              </w:rPr>
              <w:t>2.0</w:t>
            </w:r>
          </w:p>
        </w:tc>
        <w:tc>
          <w:tcPr>
            <w:tcW w:w="1140" w:type="dxa"/>
            <w:vAlign w:val="bottom"/>
            <w:shd w:val="clear" w:color="auto" w:fill="D0DBEF"/>
          </w:tcPr>
          <w:p>
            <w:pPr>
              <w:jc w:val="right"/>
              <w:ind w:right="176"/>
              <w:spacing w:after="0"/>
              <w:rPr>
                <w:sz w:val="20"/>
                <w:szCs w:val="20"/>
                <w:color w:val="auto"/>
              </w:rPr>
            </w:pPr>
            <w:r>
              <w:rPr>
                <w:rFonts w:ascii="Arial" w:cs="Arial" w:eastAsia="Arial" w:hAnsi="Arial"/>
                <w:sz w:val="13"/>
                <w:szCs w:val="13"/>
                <w:color w:val="auto"/>
              </w:rPr>
              <w:t>2,448,000</w:t>
            </w:r>
          </w:p>
        </w:tc>
      </w:tr>
      <w:tr>
        <w:trPr>
          <w:trHeight w:val="152"/>
        </w:trPr>
        <w:tc>
          <w:tcPr>
            <w:tcW w:w="3300" w:type="dxa"/>
            <w:vAlign w:val="bottom"/>
            <w:shd w:val="clear" w:color="auto" w:fill="E6ECF8"/>
          </w:tcPr>
          <w:p>
            <w:pPr>
              <w:ind w:left="20"/>
              <w:spacing w:after="0"/>
              <w:rPr>
                <w:sz w:val="20"/>
                <w:szCs w:val="20"/>
                <w:color w:val="auto"/>
              </w:rPr>
            </w:pPr>
            <w:r>
              <w:rPr>
                <w:rFonts w:ascii="Arial" w:cs="Arial" w:eastAsia="Arial" w:hAnsi="Arial"/>
                <w:sz w:val="13"/>
                <w:szCs w:val="13"/>
                <w:color w:val="auto"/>
              </w:rPr>
              <w:t>Robert E. Landry</w:t>
            </w:r>
          </w:p>
        </w:tc>
        <w:tc>
          <w:tcPr>
            <w:tcW w:w="142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50%</w:t>
            </w:r>
          </w:p>
        </w:tc>
        <w:tc>
          <w:tcPr>
            <w:tcW w:w="13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1.5</w:t>
            </w:r>
          </w:p>
        </w:tc>
        <w:tc>
          <w:tcPr>
            <w:tcW w:w="1360" w:type="dxa"/>
            <w:vAlign w:val="bottom"/>
            <w:shd w:val="clear" w:color="auto" w:fill="E6ECF8"/>
          </w:tcPr>
          <w:p>
            <w:pPr>
              <w:jc w:val="right"/>
              <w:ind w:right="213"/>
              <w:spacing w:after="0"/>
              <w:rPr>
                <w:sz w:val="20"/>
                <w:szCs w:val="20"/>
                <w:color w:val="auto"/>
              </w:rPr>
            </w:pPr>
            <w:r>
              <w:rPr>
                <w:rFonts w:ascii="Arial" w:cs="Arial" w:eastAsia="Arial" w:hAnsi="Arial"/>
                <w:sz w:val="13"/>
                <w:szCs w:val="13"/>
                <w:color w:val="auto"/>
              </w:rPr>
              <w:t>2.0</w:t>
            </w:r>
          </w:p>
        </w:tc>
        <w:tc>
          <w:tcPr>
            <w:tcW w:w="1140" w:type="dxa"/>
            <w:vAlign w:val="bottom"/>
            <w:shd w:val="clear" w:color="auto" w:fill="E6ECF8"/>
          </w:tcPr>
          <w:p>
            <w:pPr>
              <w:jc w:val="right"/>
              <w:ind w:right="116"/>
              <w:spacing w:after="0" w:line="152" w:lineRule="exact"/>
              <w:rPr>
                <w:sz w:val="20"/>
                <w:szCs w:val="20"/>
                <w:color w:val="auto"/>
              </w:rPr>
            </w:pPr>
            <w:r>
              <w:rPr>
                <w:rFonts w:ascii="Arial" w:cs="Arial" w:eastAsia="Arial" w:hAnsi="Arial"/>
                <w:sz w:val="12"/>
                <w:szCs w:val="12"/>
                <w:color w:val="auto"/>
              </w:rPr>
              <w:t>465,750</w:t>
            </w:r>
            <w:r>
              <w:rPr>
                <w:rFonts w:ascii="Arial" w:cs="Arial" w:eastAsia="Arial" w:hAnsi="Arial"/>
                <w:sz w:val="17"/>
                <w:szCs w:val="17"/>
                <w:color w:val="5668B0"/>
                <w:vertAlign w:val="superscript"/>
              </w:rPr>
              <w:t>1</w:t>
            </w:r>
          </w:p>
        </w:tc>
      </w:tr>
      <w:tr>
        <w:trPr>
          <w:trHeight w:val="152"/>
        </w:trPr>
        <w:tc>
          <w:tcPr>
            <w:tcW w:w="3300" w:type="dxa"/>
            <w:vAlign w:val="bottom"/>
            <w:shd w:val="clear" w:color="auto" w:fill="D0DBEF"/>
          </w:tcPr>
          <w:p>
            <w:pPr>
              <w:ind w:left="20"/>
              <w:spacing w:after="0"/>
              <w:rPr>
                <w:sz w:val="20"/>
                <w:szCs w:val="20"/>
                <w:color w:val="auto"/>
              </w:rPr>
            </w:pPr>
            <w:r>
              <w:rPr>
                <w:rFonts w:ascii="Arial" w:cs="Arial" w:eastAsia="Arial" w:hAnsi="Arial"/>
                <w:sz w:val="13"/>
                <w:szCs w:val="13"/>
                <w:color w:val="auto"/>
              </w:rPr>
              <w:t>Neil Stahl, Ph.D.</w:t>
            </w:r>
          </w:p>
        </w:tc>
        <w:tc>
          <w:tcPr>
            <w:tcW w:w="142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60%</w:t>
            </w:r>
          </w:p>
        </w:tc>
        <w:tc>
          <w:tcPr>
            <w:tcW w:w="13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1.5</w:t>
            </w:r>
          </w:p>
        </w:tc>
        <w:tc>
          <w:tcPr>
            <w:tcW w:w="1360" w:type="dxa"/>
            <w:vAlign w:val="bottom"/>
            <w:shd w:val="clear" w:color="auto" w:fill="D0DBEF"/>
          </w:tcPr>
          <w:p>
            <w:pPr>
              <w:jc w:val="right"/>
              <w:ind w:right="213"/>
              <w:spacing w:after="0"/>
              <w:rPr>
                <w:sz w:val="20"/>
                <w:szCs w:val="20"/>
                <w:color w:val="auto"/>
              </w:rPr>
            </w:pPr>
            <w:r>
              <w:rPr>
                <w:rFonts w:ascii="Arial" w:cs="Arial" w:eastAsia="Arial" w:hAnsi="Arial"/>
                <w:sz w:val="13"/>
                <w:szCs w:val="13"/>
                <w:color w:val="auto"/>
              </w:rPr>
              <w:t>2.0</w:t>
            </w:r>
          </w:p>
        </w:tc>
        <w:tc>
          <w:tcPr>
            <w:tcW w:w="1140" w:type="dxa"/>
            <w:vAlign w:val="bottom"/>
            <w:shd w:val="clear" w:color="auto" w:fill="D0DBEF"/>
          </w:tcPr>
          <w:p>
            <w:pPr>
              <w:jc w:val="right"/>
              <w:ind w:right="116"/>
              <w:spacing w:after="0" w:line="152" w:lineRule="exact"/>
              <w:rPr>
                <w:sz w:val="20"/>
                <w:szCs w:val="20"/>
                <w:color w:val="auto"/>
              </w:rPr>
            </w:pPr>
            <w:r>
              <w:rPr>
                <w:rFonts w:ascii="Arial" w:cs="Arial" w:eastAsia="Arial" w:hAnsi="Arial"/>
                <w:sz w:val="12"/>
                <w:szCs w:val="12"/>
                <w:color w:val="auto"/>
              </w:rPr>
              <w:t>594,000</w:t>
            </w:r>
            <w:r>
              <w:rPr>
                <w:rFonts w:ascii="Arial" w:cs="Arial" w:eastAsia="Arial" w:hAnsi="Arial"/>
                <w:sz w:val="17"/>
                <w:szCs w:val="17"/>
                <w:color w:val="5668B0"/>
                <w:vertAlign w:val="superscript"/>
              </w:rPr>
              <w:t>1</w:t>
            </w:r>
          </w:p>
        </w:tc>
      </w:tr>
      <w:tr>
        <w:trPr>
          <w:trHeight w:val="152"/>
        </w:trPr>
        <w:tc>
          <w:tcPr>
            <w:tcW w:w="3300" w:type="dxa"/>
            <w:vAlign w:val="bottom"/>
            <w:tcBorders>
              <w:bottom w:val="single" w:sz="8" w:color="5668B0"/>
            </w:tcBorders>
            <w:shd w:val="clear" w:color="auto" w:fill="E6ECF8"/>
          </w:tcPr>
          <w:p>
            <w:pPr>
              <w:ind w:left="20"/>
              <w:spacing w:after="0"/>
              <w:rPr>
                <w:sz w:val="20"/>
                <w:szCs w:val="20"/>
                <w:color w:val="auto"/>
              </w:rPr>
            </w:pPr>
            <w:r>
              <w:rPr>
                <w:rFonts w:ascii="Arial" w:cs="Arial" w:eastAsia="Arial" w:hAnsi="Arial"/>
                <w:sz w:val="13"/>
                <w:szCs w:val="13"/>
                <w:color w:val="auto"/>
              </w:rPr>
              <w:t>Robert J. Terifay</w:t>
            </w:r>
          </w:p>
        </w:tc>
        <w:tc>
          <w:tcPr>
            <w:tcW w:w="1420" w:type="dxa"/>
            <w:vAlign w:val="bottom"/>
            <w:tcBorders>
              <w:bottom w:val="single" w:sz="8" w:color="5668B0"/>
            </w:tcBorders>
            <w:shd w:val="clear" w:color="auto" w:fill="E6ECF8"/>
          </w:tcPr>
          <w:p>
            <w:pPr>
              <w:jc w:val="right"/>
              <w:ind w:right="233"/>
              <w:spacing w:after="0"/>
              <w:rPr>
                <w:sz w:val="20"/>
                <w:szCs w:val="20"/>
                <w:color w:val="auto"/>
              </w:rPr>
            </w:pPr>
            <w:r>
              <w:rPr>
                <w:rFonts w:ascii="Arial" w:cs="Arial" w:eastAsia="Arial" w:hAnsi="Arial"/>
                <w:sz w:val="13"/>
                <w:szCs w:val="13"/>
                <w:color w:val="auto"/>
              </w:rPr>
              <w:t>60%</w:t>
            </w:r>
          </w:p>
        </w:tc>
        <w:tc>
          <w:tcPr>
            <w:tcW w:w="1360" w:type="dxa"/>
            <w:vAlign w:val="bottom"/>
            <w:tcBorders>
              <w:bottom w:val="single" w:sz="8" w:color="5668B0"/>
            </w:tcBorders>
            <w:shd w:val="clear" w:color="auto" w:fill="E6ECF8"/>
          </w:tcPr>
          <w:p>
            <w:pPr>
              <w:jc w:val="right"/>
              <w:ind w:right="233"/>
              <w:spacing w:after="0"/>
              <w:rPr>
                <w:sz w:val="20"/>
                <w:szCs w:val="20"/>
                <w:color w:val="auto"/>
              </w:rPr>
            </w:pPr>
            <w:r>
              <w:rPr>
                <w:rFonts w:ascii="Arial" w:cs="Arial" w:eastAsia="Arial" w:hAnsi="Arial"/>
                <w:sz w:val="13"/>
                <w:szCs w:val="13"/>
                <w:color w:val="auto"/>
              </w:rPr>
              <w:t>1.5</w:t>
            </w:r>
          </w:p>
        </w:tc>
        <w:tc>
          <w:tcPr>
            <w:tcW w:w="1360" w:type="dxa"/>
            <w:vAlign w:val="bottom"/>
            <w:tcBorders>
              <w:bottom w:val="single" w:sz="8" w:color="5668B0"/>
            </w:tcBorders>
            <w:shd w:val="clear" w:color="auto" w:fill="E6ECF8"/>
          </w:tcPr>
          <w:p>
            <w:pPr>
              <w:jc w:val="right"/>
              <w:ind w:right="213"/>
              <w:spacing w:after="0"/>
              <w:rPr>
                <w:sz w:val="20"/>
                <w:szCs w:val="20"/>
                <w:color w:val="auto"/>
              </w:rPr>
            </w:pPr>
            <w:r>
              <w:rPr>
                <w:rFonts w:ascii="Arial" w:cs="Arial" w:eastAsia="Arial" w:hAnsi="Arial"/>
                <w:sz w:val="13"/>
                <w:szCs w:val="13"/>
                <w:color w:val="auto"/>
              </w:rPr>
              <w:t>2.0</w:t>
            </w:r>
          </w:p>
        </w:tc>
        <w:tc>
          <w:tcPr>
            <w:tcW w:w="1140" w:type="dxa"/>
            <w:vAlign w:val="bottom"/>
            <w:tcBorders>
              <w:bottom w:val="single" w:sz="8" w:color="5668B0"/>
            </w:tcBorders>
            <w:shd w:val="clear" w:color="auto" w:fill="E6ECF8"/>
          </w:tcPr>
          <w:p>
            <w:pPr>
              <w:jc w:val="right"/>
              <w:ind w:right="116"/>
              <w:spacing w:after="0" w:line="152" w:lineRule="exact"/>
              <w:rPr>
                <w:sz w:val="20"/>
                <w:szCs w:val="20"/>
                <w:color w:val="auto"/>
              </w:rPr>
            </w:pPr>
            <w:r>
              <w:rPr>
                <w:rFonts w:ascii="Arial" w:cs="Arial" w:eastAsia="Arial" w:hAnsi="Arial"/>
                <w:sz w:val="12"/>
                <w:szCs w:val="12"/>
                <w:color w:val="auto"/>
              </w:rPr>
              <w:t>574,668</w:t>
            </w:r>
            <w:r>
              <w:rPr>
                <w:rFonts w:ascii="Arial" w:cs="Arial" w:eastAsia="Arial" w:hAnsi="Arial"/>
                <w:sz w:val="17"/>
                <w:szCs w:val="17"/>
                <w:color w:val="5668B0"/>
                <w:vertAlign w:val="superscript"/>
              </w:rPr>
              <w:t>1</w:t>
            </w:r>
          </w:p>
        </w:tc>
      </w:tr>
    </w:tbl>
    <w:p>
      <w:pPr>
        <w:spacing w:after="0" w:line="207" w:lineRule="exact"/>
        <w:rPr>
          <w:sz w:val="20"/>
          <w:szCs w:val="20"/>
          <w:color w:val="auto"/>
        </w:rPr>
      </w:pPr>
    </w:p>
    <w:p>
      <w:pPr>
        <w:ind w:left="1880" w:hanging="508"/>
        <w:spacing w:after="0" w:line="198" w:lineRule="auto"/>
        <w:tabs>
          <w:tab w:leader="none" w:pos="1880" w:val="left"/>
        </w:tabs>
        <w:numPr>
          <w:ilvl w:val="0"/>
          <w:numId w:val="87"/>
        </w:numPr>
        <w:rPr>
          <w:rFonts w:ascii="Arial" w:cs="Arial" w:eastAsia="Arial" w:hAnsi="Arial"/>
          <w:sz w:val="20"/>
          <w:szCs w:val="20"/>
          <w:b w:val="1"/>
          <w:bCs w:val="1"/>
          <w:color w:val="5668B0"/>
          <w:vertAlign w:val="superscript"/>
        </w:rPr>
      </w:pPr>
      <w:r>
        <w:rPr>
          <w:rFonts w:ascii="Arial" w:cs="Arial" w:eastAsia="Arial" w:hAnsi="Arial"/>
          <w:sz w:val="13"/>
          <w:szCs w:val="13"/>
          <w:color w:val="auto"/>
        </w:rPr>
        <w:t>Amount based on Named Officer's cash bonus target and his weighted average performance with a weight of 40% for personal performance and 60% for Company performance.</w:t>
      </w:r>
    </w:p>
    <w:p>
      <w:pPr>
        <w:sectPr>
          <w:pgSz w:w="11900" w:h="16838" w:orient="portrait"/>
          <w:cols w:equalWidth="0" w:num="1">
            <w:col w:w="11420"/>
          </w:cols>
          <w:pgMar w:left="240" w:top="142" w:right="239" w:bottom="1440" w:gutter="0" w:footer="0" w:header="0"/>
          <w:type w:val="continuous"/>
        </w:sectPr>
      </w:pPr>
    </w:p>
    <w:p>
      <w:pPr>
        <w:spacing w:after="0" w:line="39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cash bonuses were determined through the use of both an individual and a Company performance component with a possible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range of 0 to 1.5 for the personal performance multiplier and a possible range of 0 to 2.0 for the Company performance multiplier,</w:t>
      </w:r>
    </w:p>
    <w:p>
      <w:pPr>
        <w:spacing w:after="0" w:line="200"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55</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depending upon performance during the year. Both the personal performance multiplier and the Company performance multiplier were determined by the Compensation Committee for each Named Officer based on the Committee's assessment of the Company's performance relative to the general corporate goals described below and, in the case of each of Mr. Landry, Dr. Stahl, and Mr. Terifay, the Named Officer's personal performance during the year.</w:t>
      </w:r>
    </w:p>
    <w:p>
      <w:pPr>
        <w:spacing w:after="0" w:line="189"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Compensation Committee determined that the Company's performance in 2015 well exceeded its 2015 corporate goals. These corporate achievements included the following:</w:t>
      </w:r>
    </w:p>
    <w:p>
      <w:pPr>
        <w:spacing w:after="0" w:line="185" w:lineRule="exact"/>
        <w:rPr>
          <w:sz w:val="20"/>
          <w:szCs w:val="20"/>
          <w:color w:val="auto"/>
        </w:rPr>
      </w:pPr>
    </w:p>
    <w:p>
      <w:pPr>
        <w:ind w:left="500" w:right="20" w:hanging="499"/>
        <w:spacing w:after="0" w:line="264"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47% growth in EYLEA® global net product sales as compared to 2014;</w:t>
      </w:r>
    </w:p>
    <w:p>
      <w:pPr>
        <w:spacing w:after="0" w:line="177" w:lineRule="exact"/>
        <w:rPr>
          <w:rFonts w:ascii="Arial" w:cs="Arial" w:eastAsia="Arial" w:hAnsi="Arial"/>
          <w:sz w:val="16"/>
          <w:szCs w:val="16"/>
          <w:color w:val="5668B0"/>
        </w:rPr>
      </w:pPr>
    </w:p>
    <w:p>
      <w:pPr>
        <w:ind w:left="500" w:hanging="499"/>
        <w:spacing w:after="0"/>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46% growth in our total revenues as compared to 2014;</w:t>
      </w:r>
    </w:p>
    <w:p>
      <w:pPr>
        <w:spacing w:after="0" w:line="195" w:lineRule="exact"/>
        <w:rPr>
          <w:rFonts w:ascii="Arial" w:cs="Arial" w:eastAsia="Arial" w:hAnsi="Arial"/>
          <w:sz w:val="16"/>
          <w:szCs w:val="16"/>
          <w:color w:val="5668B0"/>
        </w:rPr>
      </w:pPr>
    </w:p>
    <w:p>
      <w:pPr>
        <w:jc w:val="both"/>
        <w:ind w:left="500" w:right="20" w:hanging="499"/>
        <w:spacing w:after="0" w:line="251"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19% growth in non-GAAP net income as compared to 2014 (non-GAAP net income is not a measure calculated in accordance with U.S. Generally Accepted Accounting Principles; see Appendix A for a definition of non-GAAP net income and a reconciliation of non-GAAP net income to net income);</w:t>
      </w:r>
    </w:p>
    <w:p>
      <w:pPr>
        <w:spacing w:after="0" w:line="176" w:lineRule="exact"/>
        <w:rPr>
          <w:rFonts w:ascii="Arial" w:cs="Arial" w:eastAsia="Arial" w:hAnsi="Arial"/>
          <w:sz w:val="16"/>
          <w:szCs w:val="16"/>
          <w:color w:val="5668B0"/>
        </w:rPr>
      </w:pPr>
    </w:p>
    <w:p>
      <w:pPr>
        <w:jc w:val="both"/>
        <w:ind w:left="500" w:hanging="499"/>
        <w:spacing w:after="0" w:line="249"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advances in our EYLEA® franchise, including regulatory approval of EYLEA® for the treatment of visual impairment due to macular edema secondary to retinal vein occlusion and the treatment of visual impairment secondary to myopic choroidal neovascularization in the European Union; regulatory approval of EYLEA® for the treatment of diabetic retinopathy in patients with diabetic macular edema in the United States; and regulatory approval of EYLEA® for the treatment of retinal vein occlusion in Japan;</w:t>
      </w:r>
    </w:p>
    <w:p>
      <w:pPr>
        <w:spacing w:after="0" w:line="383" w:lineRule="exact"/>
        <w:rPr>
          <w:rFonts w:ascii="Arial" w:cs="Arial" w:eastAsia="Arial" w:hAnsi="Arial"/>
          <w:sz w:val="16"/>
          <w:szCs w:val="16"/>
          <w:color w:val="5668B0"/>
        </w:rPr>
      </w:pPr>
    </w:p>
    <w:p>
      <w:pPr>
        <w:jc w:val="both"/>
        <w:ind w:left="500" w:right="20" w:hanging="499"/>
        <w:spacing w:after="0" w:line="255"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approval and launch of Praluent® (alirocumab) Injection, the first FDA-approved drug in a new class of drugs that lower LDL ("bad") cholesterol;</w:t>
      </w:r>
    </w:p>
    <w:p>
      <w:pPr>
        <w:spacing w:after="0" w:line="172" w:lineRule="exact"/>
        <w:rPr>
          <w:rFonts w:ascii="Arial" w:cs="Arial" w:eastAsia="Arial" w:hAnsi="Arial"/>
          <w:sz w:val="16"/>
          <w:szCs w:val="16"/>
          <w:color w:val="5668B0"/>
        </w:rPr>
      </w:pPr>
    </w:p>
    <w:p>
      <w:pPr>
        <w:jc w:val="both"/>
        <w:ind w:left="500" w:right="20" w:hanging="499"/>
        <w:spacing w:after="0" w:line="253"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positive Phase 3 data for sarilumab from three Phase 3 studies in patients with rheumatoid arthritis (SARIL-RA-TARGET, SARIL-RA-EASY, and SARIL-RA-ASCERTAIN) and submission of a Biologics License Application for sarilumab with the FDA;</w:t>
      </w:r>
    </w:p>
    <w:p>
      <w:pPr>
        <w:spacing w:after="0" w:line="173" w:lineRule="exact"/>
        <w:rPr>
          <w:rFonts w:ascii="Arial" w:cs="Arial" w:eastAsia="Arial" w:hAnsi="Arial"/>
          <w:sz w:val="16"/>
          <w:szCs w:val="16"/>
          <w:color w:val="5668B0"/>
        </w:rPr>
      </w:pPr>
    </w:p>
    <w:p>
      <w:pPr>
        <w:jc w:val="both"/>
        <w:ind w:left="500" w:hanging="499"/>
        <w:spacing w:after="0" w:line="255"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positive pivotal Phase 2b data for dupilumab in asthma and completion of enrollment of the dupilumab atopic dermatitis Phase 3 studies;</w:t>
      </w:r>
    </w:p>
    <w:p>
      <w:pPr>
        <w:spacing w:after="0" w:line="185" w:lineRule="exact"/>
        <w:rPr>
          <w:rFonts w:ascii="Arial" w:cs="Arial" w:eastAsia="Arial" w:hAnsi="Arial"/>
          <w:sz w:val="16"/>
          <w:szCs w:val="16"/>
          <w:color w:val="5668B0"/>
        </w:rPr>
      </w:pPr>
    </w:p>
    <w:p>
      <w:pPr>
        <w:jc w:val="both"/>
        <w:ind w:left="500" w:hanging="499"/>
        <w:spacing w:after="0" w:line="255"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new collaboration agreement relating to fasinumab with Mitsubishi Tanabe Pharma Corporation for Japan, Korea, and nine other Asian countries, excluding China;</w:t>
      </w:r>
    </w:p>
    <w:p>
      <w:pPr>
        <w:spacing w:after="0" w:line="172" w:lineRule="exact"/>
        <w:rPr>
          <w:rFonts w:ascii="Arial" w:cs="Arial" w:eastAsia="Arial" w:hAnsi="Arial"/>
          <w:sz w:val="16"/>
          <w:szCs w:val="16"/>
          <w:color w:val="5668B0"/>
        </w:rPr>
      </w:pPr>
    </w:p>
    <w:p>
      <w:pPr>
        <w:ind w:left="500" w:right="20" w:hanging="499"/>
        <w:spacing w:after="0" w:line="264"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initiation of Phase 3 clinical study of REGN2222 for Respiratory Syncytial Virus;</w:t>
      </w:r>
    </w:p>
    <w:p>
      <w:pPr>
        <w:spacing w:after="0" w:line="164" w:lineRule="exact"/>
        <w:rPr>
          <w:rFonts w:ascii="Arial" w:cs="Arial" w:eastAsia="Arial" w:hAnsi="Arial"/>
          <w:sz w:val="16"/>
          <w:szCs w:val="16"/>
          <w:color w:val="5668B0"/>
        </w:rPr>
      </w:pPr>
    </w:p>
    <w:p>
      <w:pPr>
        <w:jc w:val="both"/>
        <w:ind w:left="500" w:right="20" w:hanging="499"/>
        <w:spacing w:after="0" w:line="255" w:lineRule="auto"/>
        <w:tabs>
          <w:tab w:leader="none" w:pos="500" w:val="left"/>
        </w:tabs>
        <w:numPr>
          <w:ilvl w:val="0"/>
          <w:numId w:val="88"/>
        </w:numPr>
        <w:rPr>
          <w:rFonts w:ascii="Arial" w:cs="Arial" w:eastAsia="Arial" w:hAnsi="Arial"/>
          <w:sz w:val="16"/>
          <w:szCs w:val="16"/>
          <w:color w:val="5668B0"/>
        </w:rPr>
      </w:pPr>
      <w:r>
        <w:rPr>
          <w:rFonts w:ascii="Arial" w:cs="Arial" w:eastAsia="Arial" w:hAnsi="Arial"/>
          <w:sz w:val="16"/>
          <w:szCs w:val="16"/>
          <w:color w:val="auto"/>
        </w:rPr>
        <w:t>continued growth of our clinical development pipeline, as evidenced by the submission of one Investigational New Drug Application with the FDA in 2015 and 13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2006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252095</wp:posOffset>
            </wp:positionV>
            <wp:extent cx="8255" cy="1930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86" w:lineRule="exact"/>
        <w:rPr>
          <w:sz w:val="20"/>
          <w:szCs w:val="20"/>
          <w:color w:val="auto"/>
        </w:rPr>
      </w:pPr>
    </w:p>
    <w:p>
      <w:pPr>
        <w:ind w:left="1160" w:hanging="744"/>
        <w:spacing w:after="0"/>
        <w:tabs>
          <w:tab w:leader="none" w:pos="1160" w:val="left"/>
        </w:tabs>
        <w:numPr>
          <w:ilvl w:val="0"/>
          <w:numId w:val="8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 xml:space="preserve">candidates (consisting of one Trap-based and 12 fully-human monoclonal antibody product candidates based on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clinical development as of December 31, 2015;</w:t>
      </w:r>
    </w:p>
    <w:p>
      <w:pPr>
        <w:spacing w:after="0" w:line="185" w:lineRule="exact"/>
        <w:rPr>
          <w:sz w:val="20"/>
          <w:szCs w:val="20"/>
          <w:color w:val="auto"/>
        </w:rPr>
      </w:pPr>
    </w:p>
    <w:p>
      <w:pPr>
        <w:jc w:val="both"/>
        <w:ind w:left="503" w:hanging="503"/>
        <w:spacing w:after="0" w:line="255" w:lineRule="auto"/>
        <w:tabs>
          <w:tab w:leader="none" w:pos="503" w:val="left"/>
        </w:tabs>
        <w:numPr>
          <w:ilvl w:val="0"/>
          <w:numId w:val="90"/>
        </w:numPr>
        <w:rPr>
          <w:rFonts w:ascii="Arial" w:cs="Arial" w:eastAsia="Arial" w:hAnsi="Arial"/>
          <w:sz w:val="16"/>
          <w:szCs w:val="16"/>
          <w:color w:val="5668B0"/>
        </w:rPr>
      </w:pPr>
      <w:r>
        <w:rPr>
          <w:rFonts w:ascii="Arial" w:cs="Arial" w:eastAsia="Arial" w:hAnsi="Arial"/>
          <w:sz w:val="16"/>
          <w:szCs w:val="16"/>
          <w:color w:val="auto"/>
        </w:rPr>
        <w:t>new global strategic collaboration with Sanofi to discover, develop, and commercialize antibody-based cancer treatments in the field of immuno-oncology; and</w:t>
      </w:r>
    </w:p>
    <w:p>
      <w:pPr>
        <w:spacing w:after="0" w:line="185" w:lineRule="exact"/>
        <w:rPr>
          <w:rFonts w:ascii="Arial" w:cs="Arial" w:eastAsia="Arial" w:hAnsi="Arial"/>
          <w:sz w:val="16"/>
          <w:szCs w:val="16"/>
          <w:color w:val="5668B0"/>
        </w:rPr>
      </w:pPr>
    </w:p>
    <w:p>
      <w:pPr>
        <w:jc w:val="both"/>
        <w:ind w:left="503" w:hanging="503"/>
        <w:spacing w:after="0" w:line="250" w:lineRule="auto"/>
        <w:tabs>
          <w:tab w:leader="none" w:pos="503" w:val="left"/>
        </w:tabs>
        <w:numPr>
          <w:ilvl w:val="0"/>
          <w:numId w:val="90"/>
        </w:numPr>
        <w:rPr>
          <w:rFonts w:ascii="Arial" w:cs="Arial" w:eastAsia="Arial" w:hAnsi="Arial"/>
          <w:sz w:val="16"/>
          <w:szCs w:val="16"/>
          <w:color w:val="5668B0"/>
        </w:rPr>
      </w:pPr>
      <w:r>
        <w:rPr>
          <w:rFonts w:ascii="Arial" w:cs="Arial" w:eastAsia="Arial" w:hAnsi="Arial"/>
          <w:sz w:val="16"/>
          <w:szCs w:val="16"/>
          <w:color w:val="auto"/>
        </w:rPr>
        <w:t>further important steps to support our current and future growth, including adding two new buildings in the Tarrytown campus providing nearly 300,000 square feet of additional laboratory and office space; significant progress with the construction of a new manufacturing facility in Limerick, Ireland; and increasing headcount on a year-over-year basis by approximately 47% as of December 31, 2015.</w:t>
      </w:r>
    </w:p>
    <w:p>
      <w:pPr>
        <w:spacing w:after="0" w:line="189" w:lineRule="exact"/>
        <w:rPr>
          <w:sz w:val="20"/>
          <w:szCs w:val="20"/>
          <w:color w:val="auto"/>
        </w:rPr>
      </w:pPr>
    </w:p>
    <w:p>
      <w:pPr>
        <w:jc w:val="both"/>
        <w:ind w:left="3"/>
        <w:spacing w:after="0" w:line="264" w:lineRule="auto"/>
        <w:rPr>
          <w:sz w:val="20"/>
          <w:szCs w:val="20"/>
          <w:color w:val="auto"/>
        </w:rPr>
      </w:pPr>
      <w:r>
        <w:rPr>
          <w:rFonts w:ascii="Arial" w:cs="Arial" w:eastAsia="Arial" w:hAnsi="Arial"/>
          <w:sz w:val="16"/>
          <w:szCs w:val="16"/>
          <w:color w:val="auto"/>
        </w:rPr>
        <w:t>See "Section 1 – Summary – 2015 Performance Overview" above for additional information.</w:t>
      </w:r>
    </w:p>
    <w:p>
      <w:pPr>
        <w:spacing w:after="0" w:line="177" w:lineRule="exact"/>
        <w:rPr>
          <w:sz w:val="20"/>
          <w:szCs w:val="20"/>
          <w:color w:val="auto"/>
        </w:rPr>
      </w:pPr>
    </w:p>
    <w:p>
      <w:pPr>
        <w:jc w:val="both"/>
        <w:ind w:left="3"/>
        <w:spacing w:after="0" w:line="264" w:lineRule="auto"/>
        <w:rPr>
          <w:sz w:val="20"/>
          <w:szCs w:val="20"/>
          <w:color w:val="auto"/>
        </w:rPr>
      </w:pPr>
      <w:r>
        <w:rPr>
          <w:rFonts w:ascii="Arial" w:cs="Arial" w:eastAsia="Arial" w:hAnsi="Arial"/>
          <w:sz w:val="16"/>
          <w:szCs w:val="16"/>
          <w:color w:val="auto"/>
        </w:rPr>
        <w:t>In recognition of these significant achievements, the Company performance multiplier for 2015 was set at 2.0.</w:t>
      </w:r>
    </w:p>
    <w:p>
      <w:pPr>
        <w:spacing w:after="0" w:line="177"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With respect to 2015, the Compensation Committee approved a personal performance multiplier of 1.5 for each of Mr. Landry, Dr. Stahl, and Mr. Terifay. The personal performance component accounted for 40% of these officers' bonuses. The Company component was based on a Company performance multiplier that was determined based on the Company's overall corporate performance (as described above) against 2015 goals that were approved by the board of directors in January 2015. This Company performance component accounted for 60% of the bonuses awarded to Mr. Landry, Dr. Stahl, and Mr. Terifay. In the case of Drs. Schleifer and Yancopoulos, the Compensation Committee focused exclusively on our overall Company performance in 2015 (as described above) when determining their cash bonuses and did not utilize a personal performance multiplier.</w:t>
      </w:r>
    </w:p>
    <w:p>
      <w:pPr>
        <w:spacing w:after="0" w:line="198"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In determining the personal performance multiplier for Mr. Landry, the Compensation Committee gave special consideration to Mr. Landry's leadership of and accomplishments in the Company's accounting and finance functions and his assumption of additional responsibilities since he joined the Company in September 2013. In the case of Dr. Stahl, the Compensation Committee focused on the progress and continued expansion of the Company's preclinical and clinical development pipeline, including the positive results from the Company's clinical trials reported in 2015, as summarized in "Section 1 – Summary – 2015 Performance Overview" above. In the case of Mr. Terifay, the Compensation Committee focused primarily on the continued commercial success of EYLEA® and the fact that EYLEA® U.S. net product sales in 2015 grew by 54% compared to 2014; the launch of Praluent® in 2015; and his leadership of the Company's commercial group, including the increase in his responsibilities in</w:t>
      </w:r>
    </w:p>
    <w:p>
      <w:pPr>
        <w:sectPr>
          <w:pgSz w:w="11900" w:h="16838" w:orient="portrait"/>
          <w:cols w:equalWidth="0" w:num="2">
            <w:col w:w="5380" w:space="677"/>
            <w:col w:w="5363"/>
          </w:cols>
          <w:pgMar w:left="240" w:top="142"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connection with the expansion of the commercialization group to support the launch of Praluent® and the planned launches of sarilumab and dupilumab.</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Annual Stock Option Awards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used stock option grants as the primary vehicle for offering long-term incentives and rewarding our Named Officers and other eligible employees. These time-based stock options generally vest at a rate of 25% per year over the first four years of the ten-year option term, subject to the executive's continued employment. We grant stock option awards to our Named Officers and other eligible employees based on their annual performance and their position and responsibilities with the Company. Each of our Named Officers generally receives an annual stock option grant and all of our other regular employees are also eligible for an annual stock option grant, subject to satisfactory performance. The number of stock options granted to each Named Officer is determined on a discretionary basis, rather than by a formula. The Compensation Committee primarily considers the number of shares underlying the awards relative to the number of basic shares of common stock outstanding and not the grant date fair value of the award (as determined according to the Black-Scholes model). The Compensation Committee is therefore able to evaluate such grants on a consistent basis as compared to other companies and regardless of fluctuations in the price of Regeneron's or other companies' common stock. Further, focusing on the number of shares and the incremental sharing rate of potential future upside (rather than targeting a specific Black-Scholes grant date fair value) avoids rewarding officers with larger grant sizes following a decline in our stock price. While the Compensation Committee takes the estimated Black-Scholes grant date fair value of annual stock option grants into account, it does not necessarily determine its compensation decisions.</w:t>
      </w:r>
    </w:p>
    <w:p>
      <w:pPr>
        <w:spacing w:after="0" w:line="3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It has been the practice of our Compensation Committee to grant annual stock option awards to eligible employees whose performance is determined to merit an annual grant, including the Named Officers, at a meeting held during December. In 2015, stock option awards (all of which were non-qualified stock options) were granted to our Named Officers and other eligible employees on December 16, 2015. Pursuant to the terms of the Regeneron Pharmaceuticals, Inc. 2014 Long-Term Incentive Plan, stock option awards are granted, for so long as our common stock is listed on the NASDAQ Global Select Market, with an exercise price equal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3"/>
        <w:spacing w:after="0" w:line="252" w:lineRule="auto"/>
        <w:rPr>
          <w:sz w:val="20"/>
          <w:szCs w:val="20"/>
          <w:color w:val="auto"/>
        </w:rPr>
      </w:pPr>
      <w:r>
        <w:rPr>
          <w:rFonts w:ascii="Arial" w:cs="Arial" w:eastAsia="Arial" w:hAnsi="Arial"/>
          <w:sz w:val="16"/>
          <w:szCs w:val="16"/>
          <w:color w:val="auto"/>
        </w:rPr>
        <w:t>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379"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All of the stock options granted to our Named Officers in 2015 will vest ratably over a period of four years. Except as set forth below under the heading "Post-Employment Compensation" on page 66, stock option vesting ceases, and unvested stock options are forfeited, upon termination of employment. The use of only time-based stock options is consistent with the Company's practice prior to 2008 and since 2012.</w:t>
      </w:r>
    </w:p>
    <w:p>
      <w:pPr>
        <w:spacing w:after="0" w:line="191"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Our Named Officers received a grant of time-based stock options on December 16, 2015, as set forth below. The annual grants shown below reflected an average reduction of 15% compared to 2014 (other than Mr. Terifay's award, which remained at the 2014 level due to his promotion to Executive Vice President, Commercial). This decrease constituted the third consecutive double-digit percentage decrease in the annual grant of stock options to our Named Officers, in each case following outstanding TSR performance. In reducing the size of 2015 annual stock option awards to the Named Officers, the Compensation Committee sought to reduce the potential dilutive impact of new equity awards without adversely affecting the effectiveness of our executive compensation program, which has successfully motivated our senior management team to deliver high operating performance and shareholder value. The reduction also took into account the increase in the Company's stock price in recent years. We will continue to assess the number of stock options that will be awarded to the Named Officers as annual merit grants.</w:t>
      </w:r>
    </w:p>
    <w:p>
      <w:pPr>
        <w:spacing w:after="0" w:line="384" w:lineRule="exact"/>
        <w:rPr>
          <w:sz w:val="20"/>
          <w:szCs w:val="20"/>
          <w:color w:val="auto"/>
        </w:rPr>
      </w:pPr>
    </w:p>
    <w:tbl>
      <w:tblPr>
        <w:tblLayout w:type="fixed"/>
        <w:tblInd w:w="3" w:type="dxa"/>
        <w:tblCellMar>
          <w:top w:w="0" w:type="dxa"/>
          <w:left w:w="0" w:type="dxa"/>
          <w:bottom w:w="0" w:type="dxa"/>
          <w:right w:w="0" w:type="dxa"/>
        </w:tblCellMar>
      </w:tblPr>
      <w:tr>
        <w:trPr>
          <w:trHeight w:val="382"/>
        </w:trPr>
        <w:tc>
          <w:tcPr>
            <w:tcW w:w="3600" w:type="dxa"/>
            <w:vAlign w:val="bottom"/>
            <w:shd w:val="clear" w:color="auto" w:fill="5668B0"/>
          </w:tcPr>
          <w:p>
            <w:pPr>
              <w:spacing w:after="0"/>
              <w:rPr>
                <w:sz w:val="24"/>
                <w:szCs w:val="24"/>
                <w:color w:val="auto"/>
              </w:rPr>
            </w:pPr>
          </w:p>
        </w:tc>
        <w:tc>
          <w:tcPr>
            <w:tcW w:w="1620" w:type="dxa"/>
            <w:vAlign w:val="bottom"/>
            <w:shd w:val="clear" w:color="auto" w:fill="5668B0"/>
          </w:tcPr>
          <w:p>
            <w:pPr>
              <w:jc w:val="right"/>
              <w:spacing w:after="0"/>
              <w:rPr>
                <w:sz w:val="20"/>
                <w:szCs w:val="20"/>
                <w:color w:val="auto"/>
              </w:rPr>
            </w:pPr>
            <w:r>
              <w:rPr>
                <w:rFonts w:ascii="Arial" w:cs="Arial" w:eastAsia="Arial" w:hAnsi="Arial"/>
                <w:sz w:val="16"/>
                <w:szCs w:val="16"/>
                <w:color w:val="FFFFFE"/>
              </w:rPr>
              <w:t>Stock</w:t>
            </w:r>
          </w:p>
        </w:tc>
      </w:tr>
      <w:tr>
        <w:trPr>
          <w:trHeight w:val="350"/>
        </w:trPr>
        <w:tc>
          <w:tcPr>
            <w:tcW w:w="3600" w:type="dxa"/>
            <w:vAlign w:val="bottom"/>
            <w:shd w:val="clear" w:color="auto" w:fill="5668B0"/>
          </w:tcPr>
          <w:p>
            <w:pPr>
              <w:spacing w:after="0"/>
              <w:rPr>
                <w:sz w:val="20"/>
                <w:szCs w:val="20"/>
                <w:color w:val="auto"/>
              </w:rPr>
            </w:pPr>
            <w:r>
              <w:rPr>
                <w:rFonts w:ascii="Arial" w:cs="Arial" w:eastAsia="Arial" w:hAnsi="Arial"/>
                <w:sz w:val="16"/>
                <w:szCs w:val="16"/>
                <w:color w:val="FFFFFE"/>
              </w:rPr>
              <w:t>Named Officer</w:t>
            </w:r>
          </w:p>
        </w:tc>
        <w:tc>
          <w:tcPr>
            <w:tcW w:w="1620" w:type="dxa"/>
            <w:vAlign w:val="bottom"/>
            <w:shd w:val="clear" w:color="auto" w:fill="5668B0"/>
          </w:tcPr>
          <w:p>
            <w:pPr>
              <w:jc w:val="right"/>
              <w:spacing w:after="0"/>
              <w:rPr>
                <w:sz w:val="20"/>
                <w:szCs w:val="20"/>
                <w:color w:val="auto"/>
              </w:rPr>
            </w:pPr>
            <w:r>
              <w:rPr>
                <w:rFonts w:ascii="Arial" w:cs="Arial" w:eastAsia="Arial" w:hAnsi="Arial"/>
                <w:sz w:val="16"/>
                <w:szCs w:val="16"/>
                <w:color w:val="FFFFFE"/>
              </w:rPr>
              <w:t>Option Award</w:t>
            </w:r>
            <w:r>
              <w:rPr>
                <w:rFonts w:ascii="Arial" w:cs="Arial" w:eastAsia="Arial" w:hAnsi="Arial"/>
                <w:sz w:val="27"/>
                <w:szCs w:val="27"/>
                <w:color w:val="FFFFFE"/>
                <w:vertAlign w:val="superscript"/>
              </w:rPr>
              <w:t>1</w:t>
            </w:r>
          </w:p>
        </w:tc>
      </w:tr>
      <w:tr>
        <w:trPr>
          <w:trHeight w:val="65"/>
        </w:trPr>
        <w:tc>
          <w:tcPr>
            <w:tcW w:w="3600" w:type="dxa"/>
            <w:vAlign w:val="bottom"/>
            <w:shd w:val="clear" w:color="auto" w:fill="5668B0"/>
          </w:tcPr>
          <w:p>
            <w:pPr>
              <w:spacing w:after="0"/>
              <w:rPr>
                <w:sz w:val="5"/>
                <w:szCs w:val="5"/>
                <w:color w:val="auto"/>
              </w:rPr>
            </w:pPr>
          </w:p>
        </w:tc>
        <w:tc>
          <w:tcPr>
            <w:tcW w:w="1620" w:type="dxa"/>
            <w:vAlign w:val="bottom"/>
            <w:shd w:val="clear" w:color="auto" w:fill="5668B0"/>
          </w:tcPr>
          <w:p>
            <w:pPr>
              <w:spacing w:after="0"/>
              <w:rPr>
                <w:sz w:val="5"/>
                <w:szCs w:val="5"/>
                <w:color w:val="auto"/>
              </w:rPr>
            </w:pPr>
          </w:p>
        </w:tc>
      </w:tr>
      <w:tr>
        <w:trPr>
          <w:trHeight w:val="190"/>
        </w:trPr>
        <w:tc>
          <w:tcPr>
            <w:tcW w:w="360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1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172,723</w:t>
            </w:r>
          </w:p>
        </w:tc>
      </w:tr>
      <w:tr>
        <w:trPr>
          <w:trHeight w:val="190"/>
        </w:trPr>
        <w:tc>
          <w:tcPr>
            <w:tcW w:w="3600" w:type="dxa"/>
            <w:vAlign w:val="bottom"/>
            <w:shd w:val="clear" w:color="auto" w:fill="D0DBEF"/>
          </w:tcPr>
          <w:p>
            <w:pPr>
              <w:spacing w:after="0"/>
              <w:rPr>
                <w:sz w:val="20"/>
                <w:szCs w:val="20"/>
                <w:color w:val="auto"/>
              </w:rPr>
            </w:pPr>
            <w:r>
              <w:rPr>
                <w:rFonts w:ascii="Arial" w:cs="Arial" w:eastAsia="Arial" w:hAnsi="Arial"/>
                <w:sz w:val="16"/>
                <w:szCs w:val="16"/>
                <w:color w:val="auto"/>
              </w:rPr>
              <w:t>George D. Yancopoulos, M.D., Ph.D.</w:t>
            </w:r>
          </w:p>
        </w:tc>
        <w:tc>
          <w:tcPr>
            <w:tcW w:w="16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146,815</w:t>
            </w:r>
          </w:p>
        </w:tc>
      </w:tr>
      <w:tr>
        <w:trPr>
          <w:trHeight w:val="190"/>
        </w:trPr>
        <w:tc>
          <w:tcPr>
            <w:tcW w:w="3600" w:type="dxa"/>
            <w:vAlign w:val="bottom"/>
            <w:shd w:val="clear" w:color="auto" w:fill="E6ECF8"/>
          </w:tcPr>
          <w:p>
            <w:pPr>
              <w:spacing w:after="0"/>
              <w:rPr>
                <w:sz w:val="20"/>
                <w:szCs w:val="20"/>
                <w:color w:val="auto"/>
              </w:rPr>
            </w:pPr>
            <w:r>
              <w:rPr>
                <w:rFonts w:ascii="Arial" w:cs="Arial" w:eastAsia="Arial" w:hAnsi="Arial"/>
                <w:sz w:val="16"/>
                <w:szCs w:val="16"/>
                <w:color w:val="auto"/>
              </w:rPr>
              <w:t>Robert E. Landry</w:t>
            </w:r>
          </w:p>
        </w:tc>
        <w:tc>
          <w:tcPr>
            <w:tcW w:w="1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28,900</w:t>
            </w:r>
          </w:p>
        </w:tc>
      </w:tr>
      <w:tr>
        <w:trPr>
          <w:trHeight w:val="190"/>
        </w:trPr>
        <w:tc>
          <w:tcPr>
            <w:tcW w:w="3600" w:type="dxa"/>
            <w:vAlign w:val="bottom"/>
            <w:shd w:val="clear" w:color="auto" w:fill="D0DBEF"/>
          </w:tcPr>
          <w:p>
            <w:pPr>
              <w:spacing w:after="0"/>
              <w:rPr>
                <w:sz w:val="20"/>
                <w:szCs w:val="20"/>
                <w:color w:val="auto"/>
              </w:rPr>
            </w:pPr>
            <w:r>
              <w:rPr>
                <w:rFonts w:ascii="Arial" w:cs="Arial" w:eastAsia="Arial" w:hAnsi="Arial"/>
                <w:sz w:val="16"/>
                <w:szCs w:val="16"/>
                <w:color w:val="auto"/>
              </w:rPr>
              <w:t>Neil Stahl, Ph.D.</w:t>
            </w:r>
          </w:p>
        </w:tc>
        <w:tc>
          <w:tcPr>
            <w:tcW w:w="16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68,638</w:t>
            </w:r>
          </w:p>
        </w:tc>
      </w:tr>
      <w:tr>
        <w:trPr>
          <w:trHeight w:val="190"/>
        </w:trPr>
        <w:tc>
          <w:tcPr>
            <w:tcW w:w="3600" w:type="dxa"/>
            <w:vAlign w:val="bottom"/>
            <w:tcBorders>
              <w:bottom w:val="single" w:sz="8" w:color="5668B0"/>
            </w:tcBorders>
            <w:shd w:val="clear" w:color="auto" w:fill="E6ECF8"/>
          </w:tcPr>
          <w:p>
            <w:pPr>
              <w:spacing w:after="0"/>
              <w:rPr>
                <w:sz w:val="20"/>
                <w:szCs w:val="20"/>
                <w:color w:val="auto"/>
              </w:rPr>
            </w:pPr>
            <w:r>
              <w:rPr>
                <w:rFonts w:ascii="Arial" w:cs="Arial" w:eastAsia="Arial" w:hAnsi="Arial"/>
                <w:sz w:val="16"/>
                <w:szCs w:val="16"/>
                <w:color w:val="auto"/>
              </w:rPr>
              <w:t>Robert J. Terifay</w:t>
            </w:r>
          </w:p>
        </w:tc>
        <w:tc>
          <w:tcPr>
            <w:tcW w:w="162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40,000</w:t>
            </w:r>
          </w:p>
        </w:tc>
      </w:tr>
    </w:tbl>
    <w:p>
      <w:pPr>
        <w:spacing w:after="0" w:line="207" w:lineRule="exact"/>
        <w:rPr>
          <w:sz w:val="20"/>
          <w:szCs w:val="20"/>
          <w:color w:val="auto"/>
        </w:rPr>
      </w:pPr>
    </w:p>
    <w:p>
      <w:pPr>
        <w:jc w:val="both"/>
        <w:ind w:left="503" w:hanging="503"/>
        <w:spacing w:after="0" w:line="211" w:lineRule="auto"/>
        <w:tabs>
          <w:tab w:leader="none" w:pos="503" w:val="left"/>
        </w:tabs>
        <w:numPr>
          <w:ilvl w:val="0"/>
          <w:numId w:val="91"/>
        </w:numPr>
        <w:rPr>
          <w:rFonts w:ascii="Arial" w:cs="Arial" w:eastAsia="Arial" w:hAnsi="Arial"/>
          <w:sz w:val="20"/>
          <w:szCs w:val="20"/>
          <w:b w:val="1"/>
          <w:bCs w:val="1"/>
          <w:color w:val="5668B0"/>
          <w:vertAlign w:val="superscript"/>
        </w:rPr>
      </w:pPr>
      <w:r>
        <w:rPr>
          <w:rFonts w:ascii="Arial" w:cs="Arial" w:eastAsia="Arial" w:hAnsi="Arial"/>
          <w:sz w:val="13"/>
          <w:szCs w:val="13"/>
          <w:color w:val="auto"/>
        </w:rPr>
        <w:t>These stock options all have an exercise price of $555.67 per share, the average of the high and low sales price per share of our common stock as quoted on the NASDAQ Global Select Market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248285</wp:posOffset>
            </wp:positionV>
            <wp:extent cx="8255" cy="1930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371" w:lineRule="exact"/>
        <w:rPr>
          <w:sz w:val="20"/>
          <w:szCs w:val="20"/>
          <w:color w:val="auto"/>
        </w:rPr>
      </w:pPr>
    </w:p>
    <w:tbl>
      <w:tblPr>
        <w:tblLayout w:type="fixed"/>
        <w:tblInd w:w="2363" w:type="dxa"/>
        <w:tblCellMar>
          <w:top w:w="0" w:type="dxa"/>
          <w:left w:w="0" w:type="dxa"/>
          <w:bottom w:w="0" w:type="dxa"/>
          <w:right w:w="0" w:type="dxa"/>
        </w:tblCellMar>
      </w:tblPr>
      <w:tr>
        <w:trPr>
          <w:trHeight w:val="304"/>
        </w:trPr>
        <w:tc>
          <w:tcPr>
            <w:tcW w:w="2000" w:type="dxa"/>
            <w:vAlign w:val="bottom"/>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62230</wp:posOffset>
            </wp:positionV>
            <wp:extent cx="725995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3"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375"/>
        </w:trPr>
        <w:tc>
          <w:tcPr>
            <w:tcW w:w="5720" w:type="dxa"/>
            <w:vAlign w:val="bottom"/>
            <w:tcBorders>
              <w:top w:val="single" w:sz="8" w:color="183394"/>
              <w:left w:val="single" w:sz="8" w:color="183394"/>
            </w:tcBorders>
            <w:gridSpan w:val="2"/>
            <w:shd w:val="clear" w:color="auto" w:fill="D0DBEF"/>
          </w:tcPr>
          <w:p>
            <w:pPr>
              <w:ind w:left="180"/>
              <w:spacing w:after="0"/>
              <w:rPr>
                <w:sz w:val="20"/>
                <w:szCs w:val="20"/>
                <w:color w:val="auto"/>
              </w:rPr>
            </w:pPr>
            <w:r>
              <w:rPr>
                <w:rFonts w:ascii="Arial" w:cs="Arial" w:eastAsia="Arial" w:hAnsi="Arial"/>
                <w:sz w:val="16"/>
                <w:szCs w:val="16"/>
                <w:b w:val="1"/>
                <w:bCs w:val="1"/>
                <w:color w:val="auto"/>
              </w:rPr>
              <w:t>How did we determine the size of our 2015 annual Named Officer</w:t>
            </w:r>
          </w:p>
        </w:tc>
        <w:tc>
          <w:tcPr>
            <w:tcW w:w="160" w:type="dxa"/>
            <w:vAlign w:val="bottom"/>
            <w:tcBorders>
              <w:top w:val="single" w:sz="8" w:color="183394"/>
            </w:tcBorders>
            <w:shd w:val="clear" w:color="auto" w:fill="D0DBEF"/>
          </w:tcPr>
          <w:p>
            <w:pPr>
              <w:spacing w:after="0"/>
              <w:rPr>
                <w:sz w:val="24"/>
                <w:szCs w:val="24"/>
                <w:color w:val="auto"/>
              </w:rPr>
            </w:pPr>
          </w:p>
        </w:tc>
        <w:tc>
          <w:tcPr>
            <w:tcW w:w="5560" w:type="dxa"/>
            <w:vAlign w:val="bottom"/>
            <w:tcBorders>
              <w:top w:val="single" w:sz="8" w:color="183394"/>
              <w:right w:val="single" w:sz="8" w:color="183394"/>
            </w:tcBorders>
            <w:shd w:val="clear" w:color="auto" w:fill="D0DBE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20" w:type="dxa"/>
            <w:vAlign w:val="bottom"/>
            <w:tcBorders>
              <w:left w:val="single" w:sz="8" w:color="183394"/>
            </w:tcBorders>
            <w:gridSpan w:val="2"/>
            <w:shd w:val="clear" w:color="auto" w:fill="D0DBEF"/>
          </w:tcPr>
          <w:p>
            <w:pPr>
              <w:ind w:left="180"/>
              <w:spacing w:after="0"/>
              <w:rPr>
                <w:sz w:val="20"/>
                <w:szCs w:val="20"/>
                <w:color w:val="auto"/>
              </w:rPr>
            </w:pPr>
            <w:r>
              <w:rPr>
                <w:rFonts w:ascii="Arial" w:cs="Arial" w:eastAsia="Arial" w:hAnsi="Arial"/>
                <w:sz w:val="16"/>
                <w:szCs w:val="16"/>
                <w:b w:val="1"/>
                <w:bCs w:val="1"/>
                <w:color w:val="auto"/>
              </w:rPr>
              <w:t>stock option awards?</w:t>
            </w:r>
          </w:p>
        </w:tc>
        <w:tc>
          <w:tcPr>
            <w:tcW w:w="160" w:type="dxa"/>
            <w:vAlign w:val="bottom"/>
            <w:shd w:val="clear" w:color="auto" w:fill="D0DBEF"/>
          </w:tcPr>
          <w:p>
            <w:pPr>
              <w:spacing w:after="0"/>
              <w:rPr>
                <w:sz w:val="18"/>
                <w:szCs w:val="18"/>
                <w:color w:val="auto"/>
              </w:rPr>
            </w:pPr>
          </w:p>
        </w:tc>
        <w:tc>
          <w:tcPr>
            <w:tcW w:w="5560" w:type="dxa"/>
            <w:vAlign w:val="bottom"/>
            <w:tcBorders>
              <w:right w:val="single" w:sz="8" w:color="183394"/>
            </w:tcBorders>
            <w:shd w:val="clear" w:color="auto" w:fill="D0DBEF"/>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5720" w:type="dxa"/>
            <w:vAlign w:val="bottom"/>
            <w:tcBorders>
              <w:left w:val="single" w:sz="8" w:color="183394"/>
            </w:tcBorders>
            <w:gridSpan w:val="2"/>
            <w:shd w:val="clear" w:color="auto" w:fill="D0DBEF"/>
          </w:tcPr>
          <w:p>
            <w:pPr>
              <w:ind w:left="180"/>
              <w:spacing w:after="0"/>
              <w:rPr>
                <w:sz w:val="20"/>
                <w:szCs w:val="20"/>
                <w:color w:val="auto"/>
              </w:rPr>
            </w:pPr>
            <w:r>
              <w:rPr>
                <w:rFonts w:ascii="Arial" w:cs="Arial" w:eastAsia="Arial" w:hAnsi="Arial"/>
                <w:sz w:val="16"/>
                <w:szCs w:val="16"/>
                <w:color w:val="auto"/>
              </w:rPr>
              <w:t>The size of the time-based stock option awards granted to our Named</w:t>
            </w:r>
          </w:p>
        </w:tc>
        <w:tc>
          <w:tcPr>
            <w:tcW w:w="160" w:type="dxa"/>
            <w:vAlign w:val="bottom"/>
            <w:shd w:val="clear" w:color="auto" w:fill="D0DBEF"/>
          </w:tcPr>
          <w:p>
            <w:pPr>
              <w:ind w:left="60"/>
              <w:spacing w:after="0"/>
              <w:rPr>
                <w:sz w:val="20"/>
                <w:szCs w:val="20"/>
                <w:color w:val="auto"/>
              </w:rPr>
            </w:pPr>
            <w:r>
              <w:rPr>
                <w:rFonts w:ascii="Arial" w:cs="Arial" w:eastAsia="Arial" w:hAnsi="Arial"/>
                <w:sz w:val="16"/>
                <w:szCs w:val="16"/>
                <w:color w:val="5668B0"/>
              </w:rPr>
              <w:t>•</w:t>
            </w: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an evaluation of the awards as a percentage of the total basic shares</w:t>
            </w:r>
          </w:p>
        </w:tc>
        <w:tc>
          <w:tcPr>
            <w:tcW w:w="0" w:type="dxa"/>
            <w:vAlign w:val="bottom"/>
          </w:tcPr>
          <w:p>
            <w:pPr>
              <w:spacing w:after="0"/>
              <w:rPr>
                <w:sz w:val="1"/>
                <w:szCs w:val="1"/>
                <w:color w:val="auto"/>
              </w:rPr>
            </w:pPr>
          </w:p>
        </w:tc>
      </w:tr>
      <w:tr>
        <w:trPr>
          <w:trHeight w:val="190"/>
        </w:trPr>
        <w:tc>
          <w:tcPr>
            <w:tcW w:w="5720" w:type="dxa"/>
            <w:vAlign w:val="bottom"/>
            <w:tcBorders>
              <w:left w:val="single" w:sz="8" w:color="183394"/>
            </w:tcBorders>
            <w:gridSpan w:val="2"/>
            <w:shd w:val="clear" w:color="auto" w:fill="D0DBEF"/>
          </w:tcPr>
          <w:p>
            <w:pPr>
              <w:ind w:left="180"/>
              <w:spacing w:after="0"/>
              <w:rPr>
                <w:sz w:val="20"/>
                <w:szCs w:val="20"/>
                <w:color w:val="auto"/>
              </w:rPr>
            </w:pPr>
            <w:r>
              <w:rPr>
                <w:rFonts w:ascii="Arial" w:cs="Arial" w:eastAsia="Arial" w:hAnsi="Arial"/>
                <w:sz w:val="16"/>
                <w:szCs w:val="16"/>
                <w:color w:val="auto"/>
              </w:rPr>
              <w:t>Officers were based on the following six factors:</w:t>
            </w: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outstanding as compared to Peer Group and survey data, in particular</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vMerge w:val="restart"/>
            <w:shd w:val="clear" w:color="auto" w:fill="D0DBEF"/>
          </w:tcPr>
          <w:p>
            <w:pPr>
              <w:ind w:left="60"/>
              <w:spacing w:after="0"/>
              <w:rPr>
                <w:sz w:val="20"/>
                <w:szCs w:val="20"/>
                <w:color w:val="auto"/>
              </w:rPr>
            </w:pPr>
            <w:r>
              <w:rPr>
                <w:rFonts w:ascii="Arial" w:cs="Arial" w:eastAsia="Arial" w:hAnsi="Arial"/>
                <w:sz w:val="16"/>
                <w:szCs w:val="16"/>
                <w:color w:val="auto"/>
              </w:rPr>
              <w:t>past Company practices (</w:t>
            </w:r>
            <w:r>
              <w:rPr>
                <w:rFonts w:ascii="Arial" w:cs="Arial" w:eastAsia="Arial" w:hAnsi="Arial"/>
                <w:sz w:val="16"/>
                <w:szCs w:val="16"/>
                <w:i w:val="1"/>
                <w:iCs w:val="1"/>
                <w:color w:val="auto"/>
              </w:rPr>
              <w:t>i.e.</w:t>
            </w:r>
            <w:r>
              <w:rPr>
                <w:rFonts w:ascii="Arial" w:cs="Arial" w:eastAsia="Arial" w:hAnsi="Arial"/>
                <w:sz w:val="16"/>
                <w:szCs w:val="16"/>
                <w:color w:val="auto"/>
              </w:rPr>
              <w:t>, history of grants to relevant executives);</w:t>
            </w: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the 2015 Radford Global Life Sciences Survey (see "Section 2 – Analysis</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ind w:left="180"/>
              <w:spacing w:after="0"/>
              <w:rPr>
                <w:sz w:val="20"/>
                <w:szCs w:val="20"/>
                <w:color w:val="auto"/>
              </w:rPr>
            </w:pPr>
            <w:r>
              <w:rPr>
                <w:rFonts w:ascii="Arial" w:cs="Arial" w:eastAsia="Arial" w:hAnsi="Arial"/>
                <w:sz w:val="16"/>
                <w:szCs w:val="16"/>
                <w:color w:val="5668B0"/>
              </w:rPr>
              <w:t>•</w:t>
            </w:r>
          </w:p>
        </w:tc>
        <w:tc>
          <w:tcPr>
            <w:tcW w:w="5440" w:type="dxa"/>
            <w:vAlign w:val="bottom"/>
            <w:vMerge w:val="continue"/>
            <w:shd w:val="clear" w:color="auto" w:fill="D0DBEF"/>
          </w:tcPr>
          <w:p>
            <w:pPr>
              <w:spacing w:after="0"/>
              <w:rPr>
                <w:sz w:val="16"/>
                <w:szCs w:val="16"/>
                <w:color w:val="auto"/>
              </w:rPr>
            </w:pP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of 2015 Executive Compensation Based on Compensation Objectives –</w:t>
            </w:r>
          </w:p>
        </w:tc>
        <w:tc>
          <w:tcPr>
            <w:tcW w:w="0" w:type="dxa"/>
            <w:vAlign w:val="bottom"/>
          </w:tcPr>
          <w:p>
            <w:pPr>
              <w:spacing w:after="0"/>
              <w:rPr>
                <w:sz w:val="1"/>
                <w:szCs w:val="1"/>
                <w:color w:val="auto"/>
              </w:rPr>
            </w:pPr>
          </w:p>
        </w:tc>
      </w:tr>
      <w:tr>
        <w:trPr>
          <w:trHeight w:val="197"/>
        </w:trPr>
        <w:tc>
          <w:tcPr>
            <w:tcW w:w="280" w:type="dxa"/>
            <w:vAlign w:val="bottom"/>
            <w:tcBorders>
              <w:left w:val="single" w:sz="8" w:color="183394"/>
            </w:tcBorders>
            <w:shd w:val="clear" w:color="auto" w:fill="D0DBEF"/>
          </w:tcPr>
          <w:p>
            <w:pPr>
              <w:spacing w:after="0"/>
              <w:rPr>
                <w:sz w:val="17"/>
                <w:szCs w:val="17"/>
                <w:color w:val="auto"/>
              </w:rPr>
            </w:pPr>
          </w:p>
        </w:tc>
        <w:tc>
          <w:tcPr>
            <w:tcW w:w="5440" w:type="dxa"/>
            <w:vAlign w:val="bottom"/>
            <w:vMerge w:val="restart"/>
            <w:shd w:val="clear" w:color="auto" w:fill="D0DBEF"/>
          </w:tcPr>
          <w:p>
            <w:pPr>
              <w:ind w:left="60"/>
              <w:spacing w:after="0"/>
              <w:rPr>
                <w:sz w:val="20"/>
                <w:szCs w:val="20"/>
                <w:color w:val="auto"/>
              </w:rPr>
            </w:pPr>
            <w:r>
              <w:rPr>
                <w:rFonts w:ascii="Arial" w:cs="Arial" w:eastAsia="Arial" w:hAnsi="Arial"/>
                <w:sz w:val="16"/>
                <w:szCs w:val="16"/>
                <w:color w:val="auto"/>
              </w:rPr>
              <w:t>an assessment of each Named Officer's 2015 performance against the</w:t>
            </w:r>
          </w:p>
        </w:tc>
        <w:tc>
          <w:tcPr>
            <w:tcW w:w="160" w:type="dxa"/>
            <w:vAlign w:val="bottom"/>
            <w:shd w:val="clear" w:color="auto" w:fill="D0DBEF"/>
          </w:tcPr>
          <w:p>
            <w:pPr>
              <w:spacing w:after="0"/>
              <w:rPr>
                <w:sz w:val="17"/>
                <w:szCs w:val="17"/>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Market Competitiveness and Employee Retention"); and</w:t>
            </w:r>
          </w:p>
        </w:tc>
        <w:tc>
          <w:tcPr>
            <w:tcW w:w="0" w:type="dxa"/>
            <w:vAlign w:val="bottom"/>
          </w:tcPr>
          <w:p>
            <w:pPr>
              <w:spacing w:after="0"/>
              <w:rPr>
                <w:sz w:val="1"/>
                <w:szCs w:val="1"/>
                <w:color w:val="auto"/>
              </w:rPr>
            </w:pPr>
          </w:p>
        </w:tc>
      </w:tr>
      <w:tr>
        <w:trPr>
          <w:trHeight w:val="183"/>
        </w:trPr>
        <w:tc>
          <w:tcPr>
            <w:tcW w:w="280" w:type="dxa"/>
            <w:vAlign w:val="bottom"/>
            <w:tcBorders>
              <w:left w:val="single" w:sz="8" w:color="183394"/>
            </w:tcBorders>
            <w:shd w:val="clear" w:color="auto" w:fill="D0DBEF"/>
          </w:tcPr>
          <w:p>
            <w:pPr>
              <w:ind w:left="180"/>
              <w:spacing w:after="0" w:line="183" w:lineRule="exact"/>
              <w:rPr>
                <w:sz w:val="20"/>
                <w:szCs w:val="20"/>
                <w:color w:val="auto"/>
              </w:rPr>
            </w:pPr>
            <w:r>
              <w:rPr>
                <w:rFonts w:ascii="Arial" w:cs="Arial" w:eastAsia="Arial" w:hAnsi="Arial"/>
                <w:sz w:val="16"/>
                <w:szCs w:val="16"/>
                <w:color w:val="5668B0"/>
              </w:rPr>
              <w:t>•</w:t>
            </w:r>
          </w:p>
        </w:tc>
        <w:tc>
          <w:tcPr>
            <w:tcW w:w="5440" w:type="dxa"/>
            <w:vAlign w:val="bottom"/>
            <w:vMerge w:val="continue"/>
            <w:shd w:val="clear" w:color="auto" w:fill="D0DBEF"/>
          </w:tcPr>
          <w:p>
            <w:pPr>
              <w:spacing w:after="0"/>
              <w:rPr>
                <w:sz w:val="15"/>
                <w:szCs w:val="15"/>
                <w:color w:val="auto"/>
              </w:rPr>
            </w:pPr>
          </w:p>
        </w:tc>
        <w:tc>
          <w:tcPr>
            <w:tcW w:w="160" w:type="dxa"/>
            <w:vAlign w:val="bottom"/>
            <w:shd w:val="clear" w:color="auto" w:fill="D0DBEF"/>
          </w:tcPr>
          <w:p>
            <w:pPr>
              <w:spacing w:after="0"/>
              <w:rPr>
                <w:sz w:val="15"/>
                <w:szCs w:val="15"/>
                <w:color w:val="auto"/>
              </w:rPr>
            </w:pPr>
          </w:p>
        </w:tc>
        <w:tc>
          <w:tcPr>
            <w:tcW w:w="5560" w:type="dxa"/>
            <w:vAlign w:val="bottom"/>
            <w:tcBorders>
              <w:right w:val="single" w:sz="8" w:color="183394"/>
            </w:tcBorders>
            <w:shd w:val="clear" w:color="auto" w:fill="D0DB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Named Officer's goals, as established by our CEO (in the case of the</w:t>
            </w:r>
          </w:p>
        </w:tc>
        <w:tc>
          <w:tcPr>
            <w:tcW w:w="160" w:type="dxa"/>
            <w:vAlign w:val="bottom"/>
            <w:shd w:val="clear" w:color="auto" w:fill="D0DBEF"/>
          </w:tcPr>
          <w:p>
            <w:pPr>
              <w:ind w:left="60"/>
              <w:spacing w:after="0"/>
              <w:rPr>
                <w:sz w:val="20"/>
                <w:szCs w:val="20"/>
                <w:color w:val="auto"/>
              </w:rPr>
            </w:pPr>
            <w:r>
              <w:rPr>
                <w:rFonts w:ascii="Arial" w:cs="Arial" w:eastAsia="Arial" w:hAnsi="Arial"/>
                <w:sz w:val="16"/>
                <w:szCs w:val="16"/>
                <w:color w:val="5668B0"/>
              </w:rPr>
              <w:t>•</w:t>
            </w: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the increase in the Company stock price since the annual stock option</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Named  Officers  other  than  our  Chief  Executive  Officer)  and  the</w:t>
            </w: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awards in 2014 and prior years, with the resulting increase in the grant</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Compensation Committee (in the case of our Chief Executive Officer), as</w:t>
            </w: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date fair value of the 2015 annual stock option awards (as determined</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described above under "– Annual Cash Bonus";</w:t>
            </w: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according to the Black-Scholes model for valuing stock options), which</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shd w:val="clear" w:color="auto" w:fill="D0DBEF"/>
          </w:tcPr>
          <w:p>
            <w:pPr>
              <w:spacing w:after="0"/>
              <w:rPr>
                <w:sz w:val="16"/>
                <w:szCs w:val="16"/>
                <w:color w:val="auto"/>
              </w:rPr>
            </w:pP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contributed to the decision to implement the third consecutive double-</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ind w:left="180"/>
              <w:spacing w:after="0"/>
              <w:rPr>
                <w:sz w:val="20"/>
                <w:szCs w:val="20"/>
                <w:color w:val="auto"/>
              </w:rPr>
            </w:pPr>
            <w:r>
              <w:rPr>
                <w:rFonts w:ascii="Arial" w:cs="Arial" w:eastAsia="Arial" w:hAnsi="Arial"/>
                <w:sz w:val="16"/>
                <w:szCs w:val="16"/>
                <w:color w:val="5668B0"/>
              </w:rPr>
              <w:t>•</w:t>
            </w: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Regeneron's significant corporate accomplishments in 2015;</w:t>
            </w: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digit percentage reduction in the annual grant of stock options to our</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shd w:val="clear" w:color="auto" w:fill="D0DBEF"/>
          </w:tcPr>
          <w:p>
            <w:pPr>
              <w:spacing w:after="0"/>
              <w:rPr>
                <w:sz w:val="16"/>
                <w:szCs w:val="16"/>
                <w:color w:val="auto"/>
              </w:rPr>
            </w:pP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Named Officers (for information regarding our burn rate since 2012, see</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ind w:left="180"/>
              <w:spacing w:after="0"/>
              <w:rPr>
                <w:sz w:val="20"/>
                <w:szCs w:val="20"/>
                <w:color w:val="auto"/>
              </w:rPr>
            </w:pPr>
            <w:r>
              <w:rPr>
                <w:rFonts w:ascii="Arial" w:cs="Arial" w:eastAsia="Arial" w:hAnsi="Arial"/>
                <w:sz w:val="16"/>
                <w:szCs w:val="16"/>
                <w:color w:val="5668B0"/>
              </w:rPr>
              <w:t>•</w:t>
            </w: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recognition that cash compensation of the Named Officers is generally</w:t>
            </w: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"Regeneron Stock Utilization vs. Headcount" on page 48).</w:t>
            </w: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positioned at or below the median of the Peer Group despite the fact that</w:t>
            </w:r>
          </w:p>
        </w:tc>
        <w:tc>
          <w:tcPr>
            <w:tcW w:w="160" w:type="dxa"/>
            <w:vAlign w:val="bottom"/>
            <w:shd w:val="clear" w:color="auto" w:fill="D0DBEF"/>
          </w:tcPr>
          <w:p>
            <w:pPr>
              <w:spacing w:after="0"/>
              <w:rPr>
                <w:sz w:val="16"/>
                <w:szCs w:val="16"/>
                <w:color w:val="auto"/>
              </w:rPr>
            </w:pPr>
          </w:p>
        </w:tc>
        <w:tc>
          <w:tcPr>
            <w:tcW w:w="556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Borders>
              <w:left w:val="single" w:sz="8" w:color="183394"/>
            </w:tcBorders>
            <w:shd w:val="clear" w:color="auto" w:fill="D0DBEF"/>
          </w:tcPr>
          <w:p>
            <w:pPr>
              <w:spacing w:after="0"/>
              <w:rPr>
                <w:sz w:val="16"/>
                <w:szCs w:val="16"/>
                <w:color w:val="auto"/>
              </w:rPr>
            </w:pP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Regeneron is a high-growth, high-performing company, which supports a</w:t>
            </w:r>
          </w:p>
        </w:tc>
        <w:tc>
          <w:tcPr>
            <w:tcW w:w="5720" w:type="dxa"/>
            <w:vAlign w:val="bottom"/>
            <w:tcBorders>
              <w:right w:val="single" w:sz="8" w:color="183394"/>
            </w:tcBorders>
            <w:gridSpan w:val="2"/>
            <w:shd w:val="clear" w:color="auto" w:fill="D0DBEF"/>
          </w:tcPr>
          <w:p>
            <w:pPr>
              <w:ind w:left="60"/>
              <w:spacing w:after="0"/>
              <w:rPr>
                <w:sz w:val="20"/>
                <w:szCs w:val="20"/>
                <w:color w:val="auto"/>
              </w:rPr>
            </w:pPr>
            <w:r>
              <w:rPr>
                <w:rFonts w:ascii="Arial" w:cs="Arial" w:eastAsia="Arial" w:hAnsi="Arial"/>
                <w:sz w:val="16"/>
                <w:szCs w:val="16"/>
                <w:color w:val="auto"/>
              </w:rPr>
              <w:t>As noted above, Dr. Yancopoulos's 2015 annual stock option award was</w:t>
            </w:r>
          </w:p>
        </w:tc>
        <w:tc>
          <w:tcPr>
            <w:tcW w:w="0" w:type="dxa"/>
            <w:vAlign w:val="bottom"/>
          </w:tcPr>
          <w:p>
            <w:pPr>
              <w:spacing w:after="0"/>
              <w:rPr>
                <w:sz w:val="1"/>
                <w:szCs w:val="1"/>
                <w:color w:val="auto"/>
              </w:rPr>
            </w:pPr>
          </w:p>
        </w:tc>
      </w:tr>
      <w:tr>
        <w:trPr>
          <w:trHeight w:val="202"/>
        </w:trPr>
        <w:tc>
          <w:tcPr>
            <w:tcW w:w="280" w:type="dxa"/>
            <w:vAlign w:val="bottom"/>
            <w:tcBorders>
              <w:left w:val="single" w:sz="8" w:color="183394"/>
            </w:tcBorders>
            <w:shd w:val="clear" w:color="auto" w:fill="D0DBEF"/>
          </w:tcPr>
          <w:p>
            <w:pPr>
              <w:spacing w:after="0"/>
              <w:rPr>
                <w:sz w:val="17"/>
                <w:szCs w:val="17"/>
                <w:color w:val="auto"/>
              </w:rPr>
            </w:pPr>
          </w:p>
        </w:tc>
        <w:tc>
          <w:tcPr>
            <w:tcW w:w="5440" w:type="dxa"/>
            <w:vAlign w:val="bottom"/>
            <w:shd w:val="clear" w:color="auto" w:fill="D0DBEF"/>
          </w:tcPr>
          <w:p>
            <w:pPr>
              <w:ind w:left="60"/>
              <w:spacing w:after="0"/>
              <w:rPr>
                <w:sz w:val="20"/>
                <w:szCs w:val="20"/>
                <w:color w:val="auto"/>
              </w:rPr>
            </w:pPr>
            <w:r>
              <w:rPr>
                <w:rFonts w:ascii="Arial" w:cs="Arial" w:eastAsia="Arial" w:hAnsi="Arial"/>
                <w:sz w:val="16"/>
                <w:szCs w:val="16"/>
                <w:color w:val="auto"/>
              </w:rPr>
              <w:t>higher level of equity grants;</w:t>
            </w:r>
          </w:p>
        </w:tc>
        <w:tc>
          <w:tcPr>
            <w:tcW w:w="5720" w:type="dxa"/>
            <w:vAlign w:val="bottom"/>
            <w:tcBorders>
              <w:right w:val="single" w:sz="8" w:color="183394"/>
            </w:tcBorders>
            <w:gridSpan w:val="2"/>
            <w:shd w:val="clear" w:color="auto" w:fill="D0DBEF"/>
          </w:tcPr>
          <w:p>
            <w:pPr>
              <w:ind w:left="60"/>
              <w:spacing w:after="0"/>
              <w:rPr>
                <w:sz w:val="20"/>
                <w:szCs w:val="20"/>
                <w:color w:val="auto"/>
              </w:rPr>
            </w:pPr>
            <w:r>
              <w:rPr>
                <w:rFonts w:ascii="Arial" w:cs="Arial" w:eastAsia="Arial" w:hAnsi="Arial"/>
                <w:sz w:val="16"/>
                <w:szCs w:val="16"/>
                <w:color w:val="auto"/>
              </w:rPr>
              <w:t>set at 85% of Dr. Schleifer's (consistent with other elements of his</w:t>
            </w:r>
          </w:p>
        </w:tc>
        <w:tc>
          <w:tcPr>
            <w:tcW w:w="0" w:type="dxa"/>
            <w:vAlign w:val="bottom"/>
          </w:tcPr>
          <w:p>
            <w:pPr>
              <w:spacing w:after="0"/>
              <w:rPr>
                <w:sz w:val="1"/>
                <w:szCs w:val="1"/>
                <w:color w:val="auto"/>
              </w:rPr>
            </w:pPr>
          </w:p>
        </w:tc>
      </w:tr>
      <w:tr>
        <w:trPr>
          <w:trHeight w:val="187"/>
        </w:trPr>
        <w:tc>
          <w:tcPr>
            <w:tcW w:w="280" w:type="dxa"/>
            <w:vAlign w:val="bottom"/>
            <w:tcBorders>
              <w:left w:val="single" w:sz="8" w:color="183394"/>
              <w:bottom w:val="single" w:sz="8" w:color="183394"/>
            </w:tcBorders>
            <w:shd w:val="clear" w:color="auto" w:fill="D0DBEF"/>
          </w:tcPr>
          <w:p>
            <w:pPr>
              <w:spacing w:after="0"/>
              <w:rPr>
                <w:sz w:val="16"/>
                <w:szCs w:val="16"/>
                <w:color w:val="auto"/>
              </w:rPr>
            </w:pPr>
          </w:p>
        </w:tc>
        <w:tc>
          <w:tcPr>
            <w:tcW w:w="5440" w:type="dxa"/>
            <w:vAlign w:val="bottom"/>
            <w:tcBorders>
              <w:bottom w:val="single" w:sz="8" w:color="183394"/>
            </w:tcBorders>
            <w:shd w:val="clear" w:color="auto" w:fill="D0DBEF"/>
          </w:tcPr>
          <w:p>
            <w:pPr>
              <w:spacing w:after="0"/>
              <w:rPr>
                <w:sz w:val="16"/>
                <w:szCs w:val="16"/>
                <w:color w:val="auto"/>
              </w:rPr>
            </w:pPr>
          </w:p>
        </w:tc>
        <w:tc>
          <w:tcPr>
            <w:tcW w:w="5720" w:type="dxa"/>
            <w:vAlign w:val="bottom"/>
            <w:tcBorders>
              <w:bottom w:val="single" w:sz="8" w:color="183394"/>
              <w:right w:val="single" w:sz="8" w:color="183394"/>
            </w:tcBorders>
            <w:gridSpan w:val="2"/>
            <w:shd w:val="clear" w:color="auto" w:fill="D0DBEF"/>
          </w:tcPr>
          <w:p>
            <w:pPr>
              <w:ind w:left="60"/>
              <w:spacing w:after="0"/>
              <w:rPr>
                <w:sz w:val="20"/>
                <w:szCs w:val="20"/>
                <w:color w:val="auto"/>
              </w:rPr>
            </w:pPr>
            <w:r>
              <w:rPr>
                <w:rFonts w:ascii="Arial" w:cs="Arial" w:eastAsia="Arial" w:hAnsi="Arial"/>
                <w:sz w:val="16"/>
                <w:szCs w:val="16"/>
                <w:color w:val="auto"/>
              </w:rPr>
              <w:t>compensation and our historical practice).</w:t>
            </w:r>
          </w:p>
        </w:tc>
        <w:tc>
          <w:tcPr>
            <w:tcW w:w="0" w:type="dxa"/>
            <w:vAlign w:val="bottom"/>
          </w:tcPr>
          <w:p>
            <w:pPr>
              <w:spacing w:after="0"/>
              <w:rPr>
                <w:sz w:val="1"/>
                <w:szCs w:val="1"/>
                <w:color w:val="auto"/>
              </w:rPr>
            </w:pPr>
          </w:p>
        </w:tc>
      </w:tr>
    </w:tbl>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20"/>
                <w:szCs w:val="20"/>
                <w:color w:val="auto"/>
              </w:rPr>
            </w:pPr>
            <w:r>
              <w:rPr>
                <w:rFonts w:ascii="Arial" w:cs="Arial" w:eastAsia="Arial" w:hAnsi="Arial"/>
                <w:sz w:val="16"/>
                <w:szCs w:val="16"/>
                <w:b w:val="1"/>
                <w:bCs w:val="1"/>
                <w:color w:val="5668B0"/>
              </w:rPr>
              <w:t>Perquisites and Other Personal Benefits</w:t>
            </w:r>
          </w:p>
        </w:tc>
        <w:tc>
          <w:tcPr>
            <w:tcW w:w="5700" w:type="dxa"/>
            <w:vAlign w:val="bottom"/>
          </w:tcPr>
          <w:p>
            <w:pPr>
              <w:ind w:left="340"/>
              <w:spacing w:after="0"/>
              <w:rPr>
                <w:sz w:val="20"/>
                <w:szCs w:val="20"/>
                <w:color w:val="auto"/>
              </w:rPr>
            </w:pPr>
            <w:r>
              <w:rPr>
                <w:rFonts w:ascii="Arial" w:cs="Arial" w:eastAsia="Arial" w:hAnsi="Arial"/>
                <w:sz w:val="16"/>
                <w:szCs w:val="16"/>
                <w:color w:val="auto"/>
              </w:rPr>
              <w:t>2015), up to a maximum level established under the Internal Revenue</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5700" w:type="dxa"/>
            <w:vAlign w:val="bottom"/>
          </w:tcPr>
          <w:p>
            <w:pPr>
              <w:ind w:left="340"/>
              <w:spacing w:after="0"/>
              <w:rPr>
                <w:sz w:val="20"/>
                <w:szCs w:val="20"/>
                <w:color w:val="auto"/>
              </w:rPr>
            </w:pPr>
            <w:r>
              <w:rPr>
                <w:rFonts w:ascii="Arial" w:cs="Arial" w:eastAsia="Arial" w:hAnsi="Arial"/>
                <w:sz w:val="16"/>
                <w:szCs w:val="16"/>
                <w:color w:val="auto"/>
              </w:rPr>
              <w:t>Code.  In  addition,  for  2014,  the  Company  made  an  additional</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The Named Officers are provided with a limited number of perquisites</w:t>
            </w:r>
          </w:p>
        </w:tc>
        <w:tc>
          <w:tcPr>
            <w:tcW w:w="5700" w:type="dxa"/>
            <w:vAlign w:val="bottom"/>
          </w:tcPr>
          <w:p>
            <w:pPr>
              <w:ind w:left="340"/>
              <w:spacing w:after="0"/>
              <w:rPr>
                <w:sz w:val="20"/>
                <w:szCs w:val="20"/>
                <w:color w:val="auto"/>
              </w:rPr>
            </w:pPr>
            <w:r>
              <w:rPr>
                <w:rFonts w:ascii="Arial" w:cs="Arial" w:eastAsia="Arial" w:hAnsi="Arial"/>
                <w:sz w:val="16"/>
                <w:szCs w:val="16"/>
                <w:color w:val="auto"/>
              </w:rPr>
              <w:t>discretionary contribution equal to 1% of each eligible employee's salary.</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and other personal benefits. The Compensation Committee periodically</w:t>
            </w:r>
          </w:p>
        </w:tc>
        <w:tc>
          <w:tcPr>
            <w:tcW w:w="5700" w:type="dxa"/>
            <w:vAlign w:val="bottom"/>
          </w:tcPr>
          <w:p>
            <w:pPr>
              <w:ind w:left="340"/>
              <w:spacing w:after="0"/>
              <w:rPr>
                <w:sz w:val="20"/>
                <w:szCs w:val="20"/>
                <w:color w:val="auto"/>
              </w:rPr>
            </w:pPr>
            <w:r>
              <w:rPr>
                <w:rFonts w:ascii="Arial" w:cs="Arial" w:eastAsia="Arial" w:hAnsi="Arial"/>
                <w:sz w:val="16"/>
                <w:szCs w:val="16"/>
                <w:color w:val="auto"/>
              </w:rPr>
              <w:t>Each of our Named Officers participated in our 401(k) Savings Plan</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reviews the perquisites and other personal benefits provided to the</w:t>
            </w:r>
          </w:p>
        </w:tc>
        <w:tc>
          <w:tcPr>
            <w:tcW w:w="5700" w:type="dxa"/>
            <w:vAlign w:val="bottom"/>
          </w:tcPr>
          <w:p>
            <w:pPr>
              <w:ind w:left="340"/>
              <w:spacing w:after="0"/>
              <w:rPr>
                <w:sz w:val="20"/>
                <w:szCs w:val="20"/>
                <w:color w:val="auto"/>
              </w:rPr>
            </w:pPr>
            <w:r>
              <w:rPr>
                <w:rFonts w:ascii="Arial" w:cs="Arial" w:eastAsia="Arial" w:hAnsi="Arial"/>
                <w:sz w:val="16"/>
                <w:szCs w:val="16"/>
                <w:color w:val="auto"/>
              </w:rPr>
              <w:t>during 2015 and received a matching contribution in the aggregate</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Named Officers, including the Chief Executive Officer.</w:t>
            </w:r>
          </w:p>
        </w:tc>
        <w:tc>
          <w:tcPr>
            <w:tcW w:w="5700" w:type="dxa"/>
            <w:vAlign w:val="bottom"/>
          </w:tcPr>
          <w:p>
            <w:pPr>
              <w:ind w:left="340"/>
              <w:spacing w:after="0"/>
              <w:rPr>
                <w:sz w:val="20"/>
                <w:szCs w:val="20"/>
                <w:color w:val="auto"/>
              </w:rPr>
            </w:pPr>
            <w:r>
              <w:rPr>
                <w:rFonts w:ascii="Arial" w:cs="Arial" w:eastAsia="Arial" w:hAnsi="Arial"/>
                <w:sz w:val="16"/>
                <w:szCs w:val="16"/>
                <w:color w:val="auto"/>
              </w:rPr>
              <w:t>amount of $10,600 in the form of shares of our common stock. The</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5700" w:type="dxa"/>
            <w:vAlign w:val="bottom"/>
          </w:tcPr>
          <w:p>
            <w:pPr>
              <w:ind w:left="340"/>
              <w:spacing w:after="0"/>
              <w:rPr>
                <w:sz w:val="20"/>
                <w:szCs w:val="20"/>
                <w:color w:val="auto"/>
              </w:rPr>
            </w:pPr>
            <w:r>
              <w:rPr>
                <w:rFonts w:ascii="Arial" w:cs="Arial" w:eastAsia="Arial" w:hAnsi="Arial"/>
                <w:sz w:val="16"/>
                <w:szCs w:val="16"/>
                <w:color w:val="auto"/>
              </w:rPr>
              <w:t>contribution  was  paid  in  February  2016  and  is  included  in  the</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All of the Named Officers are eligible to receive financial and tax planning</w:t>
            </w:r>
          </w:p>
        </w:tc>
        <w:tc>
          <w:tcPr>
            <w:tcW w:w="5700" w:type="dxa"/>
            <w:vAlign w:val="bottom"/>
          </w:tcPr>
          <w:p>
            <w:pPr>
              <w:ind w:left="340"/>
              <w:spacing w:after="0"/>
              <w:rPr>
                <w:sz w:val="20"/>
                <w:szCs w:val="20"/>
                <w:color w:val="auto"/>
              </w:rPr>
            </w:pPr>
            <w:r>
              <w:rPr>
                <w:rFonts w:ascii="Arial" w:cs="Arial" w:eastAsia="Arial" w:hAnsi="Arial"/>
                <w:sz w:val="16"/>
                <w:szCs w:val="16"/>
                <w:color w:val="auto"/>
              </w:rPr>
              <w:t>compensation amounts reported for each of our Named Officers in the</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assistance, which are taxable benefits and are meant to save the</w:t>
            </w:r>
          </w:p>
        </w:tc>
        <w:tc>
          <w:tcPr>
            <w:tcW w:w="5700" w:type="dxa"/>
            <w:vAlign w:val="bottom"/>
          </w:tcPr>
          <w:p>
            <w:pPr>
              <w:ind w:left="340"/>
              <w:spacing w:after="0"/>
              <w:rPr>
                <w:sz w:val="20"/>
                <w:szCs w:val="20"/>
                <w:color w:val="auto"/>
              </w:rPr>
            </w:pPr>
            <w:r>
              <w:rPr>
                <w:rFonts w:ascii="Arial" w:cs="Arial" w:eastAsia="Arial" w:hAnsi="Arial"/>
                <w:sz w:val="16"/>
                <w:szCs w:val="16"/>
                <w:color w:val="auto"/>
              </w:rPr>
              <w:t>Summary Compensation Table included in this proxy statement. As with</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executives time in order to focus on business matters as well as to</w:t>
            </w:r>
          </w:p>
        </w:tc>
        <w:tc>
          <w:tcPr>
            <w:tcW w:w="5700" w:type="dxa"/>
            <w:vAlign w:val="bottom"/>
          </w:tcPr>
          <w:p>
            <w:pPr>
              <w:ind w:left="340"/>
              <w:spacing w:after="0"/>
              <w:rPr>
                <w:sz w:val="20"/>
                <w:szCs w:val="20"/>
                <w:color w:val="auto"/>
              </w:rPr>
            </w:pPr>
            <w:r>
              <w:rPr>
                <w:rFonts w:ascii="Arial" w:cs="Arial" w:eastAsia="Arial" w:hAnsi="Arial"/>
                <w:sz w:val="16"/>
                <w:szCs w:val="16"/>
                <w:color w:val="auto"/>
              </w:rPr>
              <w:t>all employees, the number of shares of common stock that each Named</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recognize that their tax situations are affected by their employment at</w:t>
            </w:r>
          </w:p>
        </w:tc>
        <w:tc>
          <w:tcPr>
            <w:tcW w:w="5700" w:type="dxa"/>
            <w:vAlign w:val="bottom"/>
          </w:tcPr>
          <w:p>
            <w:pPr>
              <w:ind w:left="340"/>
              <w:spacing w:after="0"/>
              <w:rPr>
                <w:sz w:val="20"/>
                <w:szCs w:val="20"/>
                <w:color w:val="auto"/>
              </w:rPr>
            </w:pPr>
            <w:r>
              <w:rPr>
                <w:rFonts w:ascii="Arial" w:cs="Arial" w:eastAsia="Arial" w:hAnsi="Arial"/>
                <w:sz w:val="16"/>
                <w:szCs w:val="16"/>
                <w:color w:val="auto"/>
              </w:rPr>
              <w:t>Officer received was determined using the average market price per</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Regeneron.  Similar  to  other  employees,  the  Named  Officers  may</w:t>
            </w:r>
          </w:p>
        </w:tc>
        <w:tc>
          <w:tcPr>
            <w:tcW w:w="5700" w:type="dxa"/>
            <w:vAlign w:val="bottom"/>
          </w:tcPr>
          <w:p>
            <w:pPr>
              <w:ind w:left="340"/>
              <w:spacing w:after="0"/>
              <w:rPr>
                <w:sz w:val="20"/>
                <w:szCs w:val="20"/>
                <w:color w:val="auto"/>
              </w:rPr>
            </w:pPr>
            <w:r>
              <w:rPr>
                <w:rFonts w:ascii="Arial" w:cs="Arial" w:eastAsia="Arial" w:hAnsi="Arial"/>
                <w:sz w:val="16"/>
                <w:szCs w:val="16"/>
                <w:color w:val="auto"/>
              </w:rPr>
              <w:t>share of our common stock during the 401(k) Savings Plan year, which</w:t>
            </w:r>
          </w:p>
        </w:tc>
        <w:tc>
          <w:tcPr>
            <w:tcW w:w="0" w:type="dxa"/>
            <w:vAlign w:val="bottom"/>
          </w:tcPr>
          <w:p>
            <w:pPr>
              <w:spacing w:after="0"/>
              <w:rPr>
                <w:sz w:val="1"/>
                <w:szCs w:val="1"/>
                <w:color w:val="auto"/>
              </w:rPr>
            </w:pPr>
          </w:p>
        </w:tc>
      </w:tr>
      <w:tr>
        <w:trPr>
          <w:trHeight w:val="215"/>
        </w:trPr>
        <w:tc>
          <w:tcPr>
            <w:tcW w:w="5720" w:type="dxa"/>
            <w:vAlign w:val="bottom"/>
          </w:tcPr>
          <w:p>
            <w:pPr>
              <w:spacing w:after="0"/>
              <w:rPr>
                <w:sz w:val="20"/>
                <w:szCs w:val="20"/>
                <w:color w:val="auto"/>
              </w:rPr>
            </w:pPr>
            <w:r>
              <w:rPr>
                <w:rFonts w:ascii="Arial" w:cs="Arial" w:eastAsia="Arial" w:hAnsi="Arial"/>
                <w:sz w:val="16"/>
                <w:szCs w:val="16"/>
                <w:color w:val="auto"/>
              </w:rPr>
              <w:t>participate in company-wide health, disability, life insurance, and other</w:t>
            </w:r>
          </w:p>
        </w:tc>
        <w:tc>
          <w:tcPr>
            <w:tcW w:w="5700" w:type="dxa"/>
            <w:vAlign w:val="bottom"/>
          </w:tcPr>
          <w:p>
            <w:pPr>
              <w:ind w:left="340"/>
              <w:spacing w:after="0"/>
              <w:rPr>
                <w:sz w:val="20"/>
                <w:szCs w:val="20"/>
                <w:color w:val="auto"/>
              </w:rPr>
            </w:pPr>
            <w:r>
              <w:rPr>
                <w:rFonts w:ascii="Arial" w:cs="Arial" w:eastAsia="Arial" w:hAnsi="Arial"/>
                <w:sz w:val="16"/>
                <w:szCs w:val="16"/>
                <w:color w:val="auto"/>
              </w:rPr>
              <w:t>for 2015 was $498.52.</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benefit plans, as well as our 401(k) Savings Plan. All employees who</w:t>
            </w:r>
          </w:p>
        </w:tc>
        <w:tc>
          <w:tcPr>
            <w:tcW w:w="5700" w:type="dxa"/>
            <w:vAlign w:val="bottom"/>
            <w:vMerge w:val="restart"/>
          </w:tcPr>
          <w:p>
            <w:pPr>
              <w:ind w:left="340"/>
              <w:spacing w:after="0"/>
              <w:rPr>
                <w:sz w:val="20"/>
                <w:szCs w:val="20"/>
                <w:color w:val="auto"/>
              </w:rPr>
            </w:pPr>
            <w:r>
              <w:rPr>
                <w:rFonts w:ascii="Arial" w:cs="Arial" w:eastAsia="Arial" w:hAnsi="Arial"/>
                <w:sz w:val="16"/>
                <w:szCs w:val="16"/>
                <w:color w:val="auto"/>
              </w:rPr>
              <w:t>Our  Chief  Executive  Officer  is  entitled  to  life  insurance,  long-term</w:t>
            </w:r>
          </w:p>
        </w:tc>
        <w:tc>
          <w:tcPr>
            <w:tcW w:w="0" w:type="dxa"/>
            <w:vAlign w:val="bottom"/>
          </w:tcPr>
          <w:p>
            <w:pPr>
              <w:spacing w:after="0"/>
              <w:rPr>
                <w:sz w:val="1"/>
                <w:szCs w:val="1"/>
                <w:color w:val="auto"/>
              </w:rPr>
            </w:pPr>
          </w:p>
        </w:tc>
      </w:tr>
      <w:tr>
        <w:trPr>
          <w:trHeight w:val="177"/>
        </w:trPr>
        <w:tc>
          <w:tcPr>
            <w:tcW w:w="5720" w:type="dxa"/>
            <w:vAlign w:val="bottom"/>
          </w:tcPr>
          <w:p>
            <w:pPr>
              <w:spacing w:after="0" w:line="178" w:lineRule="exact"/>
              <w:rPr>
                <w:sz w:val="20"/>
                <w:szCs w:val="20"/>
                <w:color w:val="auto"/>
              </w:rPr>
            </w:pPr>
            <w:r>
              <w:rPr>
                <w:rFonts w:ascii="Arial" w:cs="Arial" w:eastAsia="Arial" w:hAnsi="Arial"/>
                <w:sz w:val="16"/>
                <w:szCs w:val="16"/>
                <w:color w:val="auto"/>
              </w:rPr>
              <w:t>participate in our 401(k) Savings Plan are eligible to receive certain</w:t>
            </w:r>
          </w:p>
        </w:tc>
        <w:tc>
          <w:tcPr>
            <w:tcW w:w="5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matching  contributions.  In  each  plan  year,  we  contribute  to  each</w:t>
            </w:r>
          </w:p>
        </w:tc>
        <w:tc>
          <w:tcPr>
            <w:tcW w:w="5700" w:type="dxa"/>
            <w:vAlign w:val="bottom"/>
          </w:tcPr>
          <w:p>
            <w:pPr>
              <w:ind w:left="340"/>
              <w:spacing w:after="0"/>
              <w:rPr>
                <w:sz w:val="20"/>
                <w:szCs w:val="20"/>
                <w:color w:val="auto"/>
              </w:rPr>
            </w:pPr>
            <w:r>
              <w:rPr>
                <w:rFonts w:ascii="Arial" w:cs="Arial" w:eastAsia="Arial" w:hAnsi="Arial"/>
                <w:sz w:val="16"/>
                <w:szCs w:val="16"/>
                <w:color w:val="auto"/>
              </w:rPr>
              <w:t>disability, and medical malpractice insurance premiums (as well as an</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participant's account a matching contribution (in the form of shares of our</w:t>
            </w:r>
          </w:p>
        </w:tc>
        <w:tc>
          <w:tcPr>
            <w:tcW w:w="5700" w:type="dxa"/>
            <w:vAlign w:val="bottom"/>
          </w:tcPr>
          <w:p>
            <w:pPr>
              <w:ind w:left="340"/>
              <w:spacing w:after="0"/>
              <w:rPr>
                <w:sz w:val="20"/>
                <w:szCs w:val="20"/>
                <w:color w:val="auto"/>
              </w:rPr>
            </w:pPr>
            <w:r>
              <w:rPr>
                <w:rFonts w:ascii="Arial" w:cs="Arial" w:eastAsia="Arial" w:hAnsi="Arial"/>
                <w:sz w:val="16"/>
                <w:szCs w:val="16"/>
                <w:color w:val="auto"/>
              </w:rPr>
              <w:t>additional amount for tax preparation and financial planning services)</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common  stock)  equal  to  50%  of  a  specified  percentage  of  the</w:t>
            </w:r>
          </w:p>
        </w:tc>
        <w:tc>
          <w:tcPr>
            <w:tcW w:w="5700" w:type="dxa"/>
            <w:vAlign w:val="bottom"/>
          </w:tcPr>
          <w:p>
            <w:pPr>
              <w:ind w:left="340"/>
              <w:spacing w:after="0"/>
              <w:rPr>
                <w:sz w:val="20"/>
                <w:szCs w:val="20"/>
                <w:color w:val="auto"/>
              </w:rPr>
            </w:pPr>
            <w:r>
              <w:rPr>
                <w:rFonts w:ascii="Arial" w:cs="Arial" w:eastAsia="Arial" w:hAnsi="Arial"/>
                <w:sz w:val="16"/>
                <w:szCs w:val="16"/>
                <w:color w:val="auto"/>
              </w:rPr>
              <w:t>pursuant to the terms of his employment agreement, as described in</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participant's compensation that the participant has contributed to the plan</w:t>
            </w:r>
          </w:p>
        </w:tc>
        <w:tc>
          <w:tcPr>
            <w:tcW w:w="5700" w:type="dxa"/>
            <w:vAlign w:val="bottom"/>
          </w:tcPr>
          <w:p>
            <w:pPr>
              <w:ind w:left="340"/>
              <w:spacing w:after="0"/>
              <w:rPr>
                <w:sz w:val="20"/>
                <w:szCs w:val="20"/>
                <w:color w:val="auto"/>
              </w:rPr>
            </w:pPr>
            <w:r>
              <w:rPr>
                <w:rFonts w:ascii="Arial" w:cs="Arial" w:eastAsia="Arial" w:hAnsi="Arial"/>
                <w:sz w:val="16"/>
                <w:szCs w:val="16"/>
                <w:color w:val="auto"/>
              </w:rPr>
              <w:t>footnote 5 to the Summary Compensation Table included in this proxy</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20"/>
                <w:szCs w:val="20"/>
                <w:color w:val="auto"/>
              </w:rPr>
            </w:pPr>
            <w:r>
              <w:rPr>
                <w:rFonts w:ascii="Arial" w:cs="Arial" w:eastAsia="Arial" w:hAnsi="Arial"/>
                <w:sz w:val="16"/>
                <w:szCs w:val="16"/>
                <w:color w:val="auto"/>
              </w:rPr>
              <w:t>(which was 6% with respect to each of 2013 and 2014 and 8% with</w:t>
            </w:r>
          </w:p>
        </w:tc>
        <w:tc>
          <w:tcPr>
            <w:tcW w:w="5700" w:type="dxa"/>
            <w:vAlign w:val="bottom"/>
          </w:tcPr>
          <w:p>
            <w:pPr>
              <w:ind w:left="340"/>
              <w:spacing w:after="0"/>
              <w:rPr>
                <w:sz w:val="20"/>
                <w:szCs w:val="20"/>
                <w:color w:val="auto"/>
              </w:rPr>
            </w:pPr>
            <w:r>
              <w:rPr>
                <w:rFonts w:ascii="Arial" w:cs="Arial" w:eastAsia="Arial" w:hAnsi="Arial"/>
                <w:sz w:val="16"/>
                <w:szCs w:val="16"/>
                <w:color w:val="auto"/>
              </w:rPr>
              <w:t>statement. Pursuant to the terms of our security policy, the Company's</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color w:val="auto"/>
              </w:rPr>
              <w:t>respect to</w:t>
            </w:r>
          </w:p>
        </w:tc>
        <w:tc>
          <w:tcPr>
            <w:tcW w:w="5700" w:type="dxa"/>
            <w:vAlign w:val="bottom"/>
          </w:tcPr>
          <w:p>
            <w:pPr>
              <w:ind w:left="340"/>
              <w:spacing w:after="0"/>
              <w:rPr>
                <w:sz w:val="20"/>
                <w:szCs w:val="20"/>
                <w:color w:val="auto"/>
              </w:rPr>
            </w:pPr>
            <w:r>
              <w:rPr>
                <w:rFonts w:ascii="Arial" w:cs="Arial" w:eastAsia="Arial" w:hAnsi="Arial"/>
                <w:sz w:val="16"/>
                <w:szCs w:val="16"/>
                <w:color w:val="auto"/>
              </w:rPr>
              <w:t>Chief Executive Officer and Chief Scientific Officer 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642620" cy="1930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250825</wp:posOffset>
            </wp:positionV>
            <wp:extent cx="8255" cy="1930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84" w:lineRule="exact"/>
        <w:rPr>
          <w:sz w:val="20"/>
          <w:szCs w:val="20"/>
          <w:color w:val="auto"/>
        </w:rPr>
      </w:pPr>
    </w:p>
    <w:p>
      <w:pPr>
        <w:ind w:left="1160" w:hanging="744"/>
        <w:spacing w:after="0"/>
        <w:tabs>
          <w:tab w:leader="none" w:pos="1160" w:val="left"/>
        </w:tabs>
        <w:numPr>
          <w:ilvl w:val="0"/>
          <w:numId w:val="9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4839"/>
        <w:spacing w:after="0" w:line="250" w:lineRule="auto"/>
        <w:rPr>
          <w:sz w:val="20"/>
          <w:szCs w:val="20"/>
          <w:color w:val="auto"/>
        </w:rPr>
      </w:pPr>
      <w:r>
        <w:rPr>
          <w:rFonts w:ascii="Arial" w:cs="Arial" w:eastAsia="Arial" w:hAnsi="Arial"/>
          <w:sz w:val="16"/>
          <w:szCs w:val="16"/>
          <w:color w:val="auto"/>
        </w:rPr>
        <w:t>required, to the extent practicable, to utilize personal travel security services, on-site residential security at their primary residence, and secure car transportation. We calculate the aggregate incremental cost to Regeneron for secure car transportation as the portion of the invoiced amount from our third-party provider of such transportation that is attributable to personal use based on the number of hours used, without including fixed costs that would be incurred in any event.</w:t>
      </w:r>
    </w:p>
    <w:p>
      <w:pPr>
        <w:spacing w:after="0" w:line="189" w:lineRule="exact"/>
        <w:rPr>
          <w:sz w:val="20"/>
          <w:szCs w:val="20"/>
          <w:color w:val="auto"/>
        </w:rPr>
      </w:pPr>
    </w:p>
    <w:p>
      <w:pPr>
        <w:jc w:val="both"/>
        <w:ind w:right="4839"/>
        <w:spacing w:after="0" w:line="248" w:lineRule="auto"/>
        <w:rPr>
          <w:sz w:val="20"/>
          <w:szCs w:val="20"/>
          <w:color w:val="auto"/>
        </w:rPr>
      </w:pPr>
      <w:r>
        <w:rPr>
          <w:rFonts w:ascii="Arial" w:cs="Arial" w:eastAsia="Arial" w:hAnsi="Arial"/>
          <w:sz w:val="16"/>
          <w:szCs w:val="16"/>
          <w:color w:val="auto"/>
        </w:rPr>
        <w:t>In addition, in order to ensure increased efficiencies and to provide a more secure traveling environment, the Company utilizes on-demand air transportation for certain executive and director travel in accordance with guidelines approved by our board of directors. Based on the recommendation of an independent, third-party security study, the guidelines and our security policy (as amended in November 2015) require Drs. Schleifer and Yancopoulos (as well as their spouses and dependent children when they accompany them) to use, as much as practicable, Company-provided aircraft for all business and personal air travel. Starting in 2016, Regeneron will cover the cost of any such personal air travel for up to $250,000 in incremental cost annually for each of Drs. Schleifer and Yancopoulos. Family members or other guests may accompany our Named Officers and directors during on-demand air business travel, space permitting, so long as they cover any incremental cost related to such guests (other than with respect to the family members of Drs. Schleifer and Yancopoulos as described above). In addition, in limited circumstances personal use of on-demand air travel by our other Named Officers or directors may be permitted if authorized by the Chairman and any incremental cost is paid by the lead passenger. Any required reimbursement or other payment of the incremental cost is made to the extent permitted by applicable Federal Aviation Administration rules.</w:t>
      </w:r>
    </w:p>
    <w:p>
      <w:pPr>
        <w:spacing w:after="0" w:line="385" w:lineRule="exact"/>
        <w:rPr>
          <w:sz w:val="20"/>
          <w:szCs w:val="20"/>
          <w:color w:val="auto"/>
        </w:rPr>
      </w:pPr>
    </w:p>
    <w:p>
      <w:pPr>
        <w:jc w:val="both"/>
        <w:ind w:right="4859"/>
        <w:spacing w:after="0" w:line="264" w:lineRule="auto"/>
        <w:rPr>
          <w:sz w:val="20"/>
          <w:szCs w:val="20"/>
          <w:color w:val="auto"/>
        </w:rPr>
      </w:pPr>
      <w:r>
        <w:rPr>
          <w:rFonts w:ascii="Arial" w:cs="Arial" w:eastAsia="Arial" w:hAnsi="Arial"/>
          <w:sz w:val="16"/>
          <w:szCs w:val="16"/>
          <w:color w:val="auto"/>
        </w:rPr>
        <w:t>There was no unreimbursed personal use, or guest use resulting in any incremental cost to us, of Company-provided aircraft in 2015.</w:t>
      </w:r>
    </w:p>
    <w:p>
      <w:pPr>
        <w:spacing w:after="0" w:line="177" w:lineRule="exact"/>
        <w:rPr>
          <w:sz w:val="20"/>
          <w:szCs w:val="20"/>
          <w:color w:val="auto"/>
        </w:rPr>
      </w:pPr>
    </w:p>
    <w:p>
      <w:pPr>
        <w:jc w:val="both"/>
        <w:ind w:right="4859"/>
        <w:spacing w:after="0" w:line="261" w:lineRule="auto"/>
        <w:rPr>
          <w:sz w:val="20"/>
          <w:szCs w:val="20"/>
          <w:color w:val="auto"/>
        </w:rPr>
      </w:pPr>
      <w:r>
        <w:rPr>
          <w:rFonts w:ascii="Arial" w:cs="Arial" w:eastAsia="Arial" w:hAnsi="Arial"/>
          <w:sz w:val="16"/>
          <w:szCs w:val="16"/>
          <w:color w:val="auto"/>
        </w:rPr>
        <w:t>The Corporate Governance and Compliance Committee monitors business and any personal or guest on-demand air travel on a periodic basis.</w:t>
      </w:r>
    </w:p>
    <w:p>
      <w:pPr>
        <w:spacing w:after="0" w:line="372" w:lineRule="exact"/>
        <w:rPr>
          <w:sz w:val="20"/>
          <w:szCs w:val="20"/>
          <w:color w:val="auto"/>
        </w:rPr>
      </w:pPr>
    </w:p>
    <w:p>
      <w:pPr>
        <w:jc w:val="both"/>
        <w:ind w:right="4859"/>
        <w:spacing w:after="0" w:line="253" w:lineRule="auto"/>
        <w:rPr>
          <w:sz w:val="20"/>
          <w:szCs w:val="20"/>
          <w:color w:val="auto"/>
        </w:rPr>
      </w:pPr>
      <w:r>
        <w:rPr>
          <w:rFonts w:ascii="Arial" w:cs="Arial" w:eastAsia="Arial" w:hAnsi="Arial"/>
          <w:sz w:val="16"/>
          <w:szCs w:val="16"/>
          <w:color w:val="auto"/>
        </w:rPr>
        <w:t>Additional information regarding perquisites and other personal benefits provided to our Named Officers in, or with respect to, 2015 is given in the applicable footnotes to the Summary Compensation Table included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Potential Severance Benefits</w:t>
      </w:r>
    </w:p>
    <w:p>
      <w:pPr>
        <w:spacing w:after="0" w:line="228" w:lineRule="exact"/>
        <w:rPr>
          <w:sz w:val="20"/>
          <w:szCs w:val="20"/>
          <w:color w:val="auto"/>
        </w:rPr>
      </w:pPr>
    </w:p>
    <w:p>
      <w:pPr>
        <w:jc w:val="both"/>
        <w:ind w:right="4839"/>
        <w:spacing w:after="0" w:line="248" w:lineRule="auto"/>
        <w:rPr>
          <w:sz w:val="20"/>
          <w:szCs w:val="20"/>
          <w:color w:val="auto"/>
        </w:rPr>
      </w:pPr>
      <w:r>
        <w:rPr>
          <w:rFonts w:ascii="Arial" w:cs="Arial" w:eastAsia="Arial" w:hAnsi="Arial"/>
          <w:sz w:val="16"/>
          <w:szCs w:val="16"/>
          <w:color w:val="auto"/>
        </w:rPr>
        <w:t>Outstanding stock option award agreements (as well as outstanding restricted stock award agreements) for all employees (other than Dr. Vagelos, whose stock option awards contain change-of-control provisions consistent with those of non-employee director stock option awards, as described under "Corporate Governance – Compensation of Directors" above) include a "double trigger" provision for the acceleration of vesting of unvested stock options (or restricted stock) upon a termination by the Company without cause or by the employee for good reason within two years following a change in control. Our Chief Executive Officer has an employment agreement that provides for certain severance benefits following termination, including following death or disability, resignation following defined "good reason" events, or termination in connection with a change in control. The other Named Officers are covered by a change in control severance plan, which provides certain benefits to them and other designated officers if they are terminated in connection with a change in control. In addition, in the case of our Chief Scientific Officer, stock option and restricted stock award agreements applicable to his awards granted starting in December 2015 provide that he would have a "good reason" for terminating his employment with Regeneron upon or within two years after the occurrence of a change in control if the employment of our Chief Executive Officer has ended due to our Chief Executive Officer's involuntary termination (as defined in his employment agreement). Information regarding applicable payments under this employment agreement and change in control severance plan is provided under the heading "Post-Employment Compensation" on page 66.</w:t>
      </w:r>
    </w:p>
    <w:p>
      <w:pPr>
        <w:spacing w:after="0" w:line="384" w:lineRule="exact"/>
        <w:rPr>
          <w:sz w:val="20"/>
          <w:szCs w:val="20"/>
          <w:color w:val="auto"/>
        </w:rPr>
      </w:pPr>
    </w:p>
    <w:p>
      <w:pPr>
        <w:jc w:val="both"/>
        <w:ind w:right="4839"/>
        <w:spacing w:after="0" w:line="249" w:lineRule="auto"/>
        <w:rPr>
          <w:sz w:val="20"/>
          <w:szCs w:val="20"/>
          <w:color w:val="auto"/>
        </w:rPr>
      </w:pPr>
      <w:r>
        <w:rPr>
          <w:rFonts w:ascii="Arial" w:cs="Arial" w:eastAsia="Arial" w:hAnsi="Arial"/>
          <w:sz w:val="16"/>
          <w:szCs w:val="16"/>
          <w:color w:val="auto"/>
        </w:rPr>
        <w:t>Except as provided in our employment agreement with our Chief Executive Officer and in our change in control severance plan, our Named Officers will forfeit any unvested time-based stock options or restricted stock upon the termination of their employment for any reason (including disability or retirement) other than death. In the event of the death of an employee, any unvested stock options held by such employee become immediately exercisable, and any shares of restricted stock will become fully vested. For information regarding unvested stock options and shares of restricted stock held by our Named Officers as of December 31, 2015, see "Outstanding Equity Awards at Fiscal Year-End" on page 64. When employees (other than our Chief Executive Officer)</w:t>
      </w:r>
    </w:p>
    <w:p>
      <w:pPr>
        <w:sectPr>
          <w:pgSz w:w="11900" w:h="16838" w:orient="portrait"/>
          <w:cols w:equalWidth="0" w:num="1">
            <w:col w:w="10219"/>
          </w:cols>
          <w:pgMar w:left="240" w:top="142" w:right="1440" w:bottom="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retire, they forfeit all unvested time-based stock options and restricted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stock. For all stock options granted prior to 2007, an employee (other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than our Chief Executive Officer) who retires has up to two years to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exercise stock options that are vested as of the date of his or her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retirement. Commencing in 2007, we amended our forms of stock option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agreement to allow the retired employee the remaining life of the 10-year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stock option term to exercise stock options that are vested as of the date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of his or her retirement.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severance benefits provided to our Named Officers are designed to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promote stability and continuity of our senior management and are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intended to preserve employee morale and productivity and encourage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retention in the face of the disruptive impact of an actual, threatened, or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rumored change in control of the Company. The severance benefits were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established following a review of comparable practices at the Company's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peer companies and with the advice of the Compensation Committee's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consultant. We have no pension, deferred compensation, or retirement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plans, other than our 401(k) Savings Plan described above.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59</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Compensation Committee Report below shall not be deemed to be "soliciting material" or to be filed with the SEC or subject to Regulation 14A or 14C under the Exchange Act, or to the liabilities of Section 18 of the Exchange Act. Notwithstanding anything to the contrary set forth in any of the Company's previous filings under the Securities Act or the Exchange Act that might incorporate future filings, including this proxy statement, in whole or in part, the Compensation Committee Report below shall not be incorporated by reference into any such filings.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Compensation Committee Report</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reviewed and discussed with management the Compensation Discussion and Analysis, beginning on page 35. Based on that review and discussion, we have recommended to the board of directors that the Compensation Discussion and Analysis be included in this proxy statement.</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Compensation Committee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Christine A. Poon, Chairperson*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34226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00" w:hanging="499"/>
        <w:spacing w:after="0" w:line="264" w:lineRule="auto"/>
        <w:tabs>
          <w:tab w:leader="none" w:pos="5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Ms. Poon became Chairperson of the Compensation Committee effective as of April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42620" cy="2006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8" w:lineRule="exact"/>
        <w:rPr>
          <w:sz w:val="20"/>
          <w:szCs w:val="20"/>
          <w:color w:val="auto"/>
        </w:rPr>
      </w:pPr>
    </w:p>
    <w:p>
      <w:pPr>
        <w:ind w:left="1160" w:hanging="744"/>
        <w:spacing w:after="0"/>
        <w:tabs>
          <w:tab w:leader="none" w:pos="1160" w:val="left"/>
        </w:tabs>
        <w:numPr>
          <w:ilvl w:val="0"/>
          <w:numId w:val="9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Compensation Committee Interlocks and Insider Participation</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2849245</wp:posOffset>
            </wp:positionV>
            <wp:extent cx="725995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4561F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accompanying footnotes provide information regarding compensation earned by, or paid to, our Named Officers (our Chief Executive Officer, our Chief Financial Officer, and our three other highest-compensated executive officers in 2015).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660" w:type="dxa"/>
            <w:vAlign w:val="bottom"/>
            <w:shd w:val="clear" w:color="auto" w:fill="5668B0"/>
          </w:tcPr>
          <w:p>
            <w:pPr>
              <w:spacing w:after="0"/>
              <w:rPr>
                <w:sz w:val="24"/>
                <w:szCs w:val="24"/>
                <w:color w:val="auto"/>
              </w:rPr>
            </w:pPr>
          </w:p>
        </w:tc>
        <w:tc>
          <w:tcPr>
            <w:tcW w:w="880" w:type="dxa"/>
            <w:vAlign w:val="bottom"/>
            <w:shd w:val="clear" w:color="auto" w:fill="5668B0"/>
          </w:tcPr>
          <w:p>
            <w:pPr>
              <w:spacing w:after="0"/>
              <w:rPr>
                <w:sz w:val="24"/>
                <w:szCs w:val="24"/>
                <w:color w:val="auto"/>
              </w:rPr>
            </w:pPr>
          </w:p>
        </w:tc>
        <w:tc>
          <w:tcPr>
            <w:tcW w:w="1080" w:type="dxa"/>
            <w:vAlign w:val="bottom"/>
            <w:shd w:val="clear" w:color="auto" w:fill="5668B0"/>
          </w:tcPr>
          <w:p>
            <w:pPr>
              <w:spacing w:after="0"/>
              <w:rPr>
                <w:sz w:val="24"/>
                <w:szCs w:val="24"/>
                <w:color w:val="auto"/>
              </w:rPr>
            </w:pPr>
          </w:p>
        </w:tc>
        <w:tc>
          <w:tcPr>
            <w:tcW w:w="1060" w:type="dxa"/>
            <w:vAlign w:val="bottom"/>
            <w:shd w:val="clear" w:color="auto" w:fill="5668B0"/>
          </w:tcPr>
          <w:p>
            <w:pPr>
              <w:spacing w:after="0"/>
              <w:rPr>
                <w:sz w:val="24"/>
                <w:szCs w:val="24"/>
                <w:color w:val="auto"/>
              </w:rPr>
            </w:pPr>
          </w:p>
        </w:tc>
        <w:tc>
          <w:tcPr>
            <w:tcW w:w="1100" w:type="dxa"/>
            <w:vAlign w:val="bottom"/>
            <w:shd w:val="clear" w:color="auto" w:fill="5668B0"/>
          </w:tcPr>
          <w:p>
            <w:pPr>
              <w:jc w:val="right"/>
              <w:ind w:right="161"/>
              <w:spacing w:after="0"/>
              <w:rPr>
                <w:sz w:val="20"/>
                <w:szCs w:val="20"/>
                <w:color w:val="auto"/>
              </w:rPr>
            </w:pPr>
            <w:r>
              <w:rPr>
                <w:rFonts w:ascii="Arial" w:cs="Arial" w:eastAsia="Arial" w:hAnsi="Arial"/>
                <w:sz w:val="13"/>
                <w:szCs w:val="13"/>
                <w:color w:val="FFFFFE"/>
              </w:rPr>
              <w:t>Stock</w:t>
            </w:r>
          </w:p>
        </w:tc>
        <w:tc>
          <w:tcPr>
            <w:tcW w:w="1080" w:type="dxa"/>
            <w:vAlign w:val="bottom"/>
            <w:shd w:val="clear" w:color="auto" w:fill="5668B0"/>
          </w:tcPr>
          <w:p>
            <w:pPr>
              <w:jc w:val="right"/>
              <w:ind w:right="131"/>
              <w:spacing w:after="0"/>
              <w:rPr>
                <w:sz w:val="20"/>
                <w:szCs w:val="20"/>
                <w:color w:val="auto"/>
              </w:rPr>
            </w:pPr>
            <w:r>
              <w:rPr>
                <w:rFonts w:ascii="Arial" w:cs="Arial" w:eastAsia="Arial" w:hAnsi="Arial"/>
                <w:sz w:val="13"/>
                <w:szCs w:val="13"/>
                <w:color w:val="FFFFFE"/>
              </w:rPr>
              <w:t>Option</w:t>
            </w:r>
          </w:p>
        </w:tc>
        <w:tc>
          <w:tcPr>
            <w:tcW w:w="1480" w:type="dxa"/>
            <w:vAlign w:val="bottom"/>
            <w:shd w:val="clear" w:color="auto" w:fill="5668B0"/>
          </w:tcPr>
          <w:p>
            <w:pPr>
              <w:jc w:val="right"/>
              <w:ind w:right="184"/>
              <w:spacing w:after="0"/>
              <w:rPr>
                <w:sz w:val="20"/>
                <w:szCs w:val="20"/>
                <w:color w:val="auto"/>
              </w:rPr>
            </w:pPr>
            <w:r>
              <w:rPr>
                <w:rFonts w:ascii="Arial" w:cs="Arial" w:eastAsia="Arial" w:hAnsi="Arial"/>
                <w:sz w:val="13"/>
                <w:szCs w:val="13"/>
                <w:color w:val="FFFFFE"/>
              </w:rPr>
              <w:t>All other</w:t>
            </w:r>
          </w:p>
        </w:tc>
        <w:tc>
          <w:tcPr>
            <w:tcW w:w="940" w:type="dxa"/>
            <w:vAlign w:val="bottom"/>
            <w:shd w:val="clear" w:color="auto" w:fill="5668B0"/>
          </w:tcPr>
          <w:p>
            <w:pPr>
              <w:spacing w:after="0"/>
              <w:rPr>
                <w:sz w:val="24"/>
                <w:szCs w:val="24"/>
                <w:color w:val="auto"/>
              </w:rPr>
            </w:pPr>
          </w:p>
        </w:tc>
      </w:tr>
      <w:tr>
        <w:trPr>
          <w:trHeight w:val="185"/>
        </w:trPr>
        <w:tc>
          <w:tcPr>
            <w:tcW w:w="3660" w:type="dxa"/>
            <w:vAlign w:val="bottom"/>
            <w:shd w:val="clear" w:color="auto" w:fill="5668B0"/>
          </w:tcPr>
          <w:p>
            <w:pPr>
              <w:ind w:left="560"/>
              <w:spacing w:after="0"/>
              <w:rPr>
                <w:sz w:val="20"/>
                <w:szCs w:val="20"/>
                <w:color w:val="auto"/>
              </w:rPr>
            </w:pPr>
            <w:r>
              <w:rPr>
                <w:rFonts w:ascii="Arial" w:cs="Arial" w:eastAsia="Arial" w:hAnsi="Arial"/>
                <w:sz w:val="13"/>
                <w:szCs w:val="13"/>
                <w:color w:val="FFFFFE"/>
              </w:rPr>
              <w:t>Name and principal position</w:t>
            </w:r>
          </w:p>
        </w:tc>
        <w:tc>
          <w:tcPr>
            <w:tcW w:w="880" w:type="dxa"/>
            <w:vAlign w:val="bottom"/>
            <w:shd w:val="clear" w:color="auto" w:fill="5668B0"/>
          </w:tcPr>
          <w:p>
            <w:pPr>
              <w:jc w:val="right"/>
              <w:ind w:right="59"/>
              <w:spacing w:after="0"/>
              <w:rPr>
                <w:sz w:val="20"/>
                <w:szCs w:val="20"/>
                <w:color w:val="auto"/>
              </w:rPr>
            </w:pPr>
            <w:r>
              <w:rPr>
                <w:rFonts w:ascii="Arial" w:cs="Arial" w:eastAsia="Arial" w:hAnsi="Arial"/>
                <w:sz w:val="13"/>
                <w:szCs w:val="13"/>
                <w:color w:val="FFFFFE"/>
              </w:rPr>
              <w:t>Year</w:t>
            </w:r>
          </w:p>
        </w:tc>
        <w:tc>
          <w:tcPr>
            <w:tcW w:w="1080" w:type="dxa"/>
            <w:vAlign w:val="bottom"/>
            <w:shd w:val="clear" w:color="auto" w:fill="5668B0"/>
          </w:tcPr>
          <w:p>
            <w:pPr>
              <w:jc w:val="right"/>
              <w:ind w:right="140"/>
              <w:spacing w:after="0"/>
              <w:rPr>
                <w:sz w:val="20"/>
                <w:szCs w:val="20"/>
                <w:color w:val="auto"/>
              </w:rPr>
            </w:pPr>
            <w:r>
              <w:rPr>
                <w:rFonts w:ascii="Arial" w:cs="Arial" w:eastAsia="Arial" w:hAnsi="Arial"/>
                <w:sz w:val="13"/>
                <w:szCs w:val="13"/>
                <w:color w:val="FFFFFE"/>
              </w:rPr>
              <w:t>Salary ($)</w:t>
            </w:r>
          </w:p>
        </w:tc>
        <w:tc>
          <w:tcPr>
            <w:tcW w:w="1060" w:type="dxa"/>
            <w:vAlign w:val="bottom"/>
            <w:shd w:val="clear" w:color="auto" w:fill="5668B0"/>
          </w:tcPr>
          <w:p>
            <w:pPr>
              <w:jc w:val="right"/>
              <w:ind w:right="181"/>
              <w:spacing w:after="0" w:line="184" w:lineRule="exact"/>
              <w:rPr>
                <w:sz w:val="20"/>
                <w:szCs w:val="20"/>
                <w:color w:val="auto"/>
              </w:rPr>
            </w:pPr>
            <w:r>
              <w:rPr>
                <w:rFonts w:ascii="Arial" w:cs="Arial" w:eastAsia="Arial" w:hAnsi="Arial"/>
                <w:sz w:val="13"/>
                <w:szCs w:val="13"/>
                <w:color w:val="FFFFFE"/>
              </w:rPr>
              <w:t>Bonus ($)</w:t>
            </w:r>
            <w:r>
              <w:rPr>
                <w:rFonts w:ascii="Arial" w:cs="Arial" w:eastAsia="Arial" w:hAnsi="Arial"/>
                <w:sz w:val="20"/>
                <w:szCs w:val="20"/>
                <w:color w:val="FFFFFE"/>
                <w:vertAlign w:val="superscript"/>
              </w:rPr>
              <w:t>1</w:t>
            </w:r>
          </w:p>
        </w:tc>
        <w:tc>
          <w:tcPr>
            <w:tcW w:w="1100" w:type="dxa"/>
            <w:vAlign w:val="bottom"/>
            <w:shd w:val="clear" w:color="auto" w:fill="5668B0"/>
          </w:tcPr>
          <w:p>
            <w:pPr>
              <w:jc w:val="right"/>
              <w:ind w:right="161"/>
              <w:spacing w:after="0" w:line="184" w:lineRule="exact"/>
              <w:rPr>
                <w:sz w:val="20"/>
                <w:szCs w:val="20"/>
                <w:color w:val="auto"/>
              </w:rPr>
            </w:pPr>
            <w:r>
              <w:rPr>
                <w:rFonts w:ascii="Arial" w:cs="Arial" w:eastAsia="Arial" w:hAnsi="Arial"/>
                <w:sz w:val="13"/>
                <w:szCs w:val="13"/>
                <w:color w:val="FFFFFE"/>
              </w:rPr>
              <w:t>awards ($)</w:t>
            </w:r>
            <w:r>
              <w:rPr>
                <w:rFonts w:ascii="Arial" w:cs="Arial" w:eastAsia="Arial" w:hAnsi="Arial"/>
                <w:sz w:val="20"/>
                <w:szCs w:val="20"/>
                <w:color w:val="FFFFFE"/>
                <w:vertAlign w:val="superscript"/>
              </w:rPr>
              <w:t>2</w:t>
            </w:r>
          </w:p>
        </w:tc>
        <w:tc>
          <w:tcPr>
            <w:tcW w:w="1080" w:type="dxa"/>
            <w:vAlign w:val="bottom"/>
            <w:shd w:val="clear" w:color="auto" w:fill="5668B0"/>
          </w:tcPr>
          <w:p>
            <w:pPr>
              <w:jc w:val="right"/>
              <w:ind w:right="131"/>
              <w:spacing w:after="0" w:line="184" w:lineRule="exact"/>
              <w:rPr>
                <w:sz w:val="20"/>
                <w:szCs w:val="20"/>
                <w:color w:val="auto"/>
              </w:rPr>
            </w:pPr>
            <w:r>
              <w:rPr>
                <w:rFonts w:ascii="Arial" w:cs="Arial" w:eastAsia="Arial" w:hAnsi="Arial"/>
                <w:sz w:val="13"/>
                <w:szCs w:val="13"/>
                <w:color w:val="FFFFFE"/>
              </w:rPr>
              <w:t>awards ($)</w:t>
            </w:r>
            <w:r>
              <w:rPr>
                <w:rFonts w:ascii="Arial" w:cs="Arial" w:eastAsia="Arial" w:hAnsi="Arial"/>
                <w:sz w:val="20"/>
                <w:szCs w:val="20"/>
                <w:color w:val="FFFFFE"/>
                <w:vertAlign w:val="superscript"/>
              </w:rPr>
              <w:t>2</w:t>
            </w:r>
          </w:p>
        </w:tc>
        <w:tc>
          <w:tcPr>
            <w:tcW w:w="1480" w:type="dxa"/>
            <w:vAlign w:val="bottom"/>
            <w:shd w:val="clear" w:color="auto" w:fill="5668B0"/>
          </w:tcPr>
          <w:p>
            <w:pPr>
              <w:jc w:val="right"/>
              <w:ind w:right="184"/>
              <w:spacing w:after="0" w:line="184" w:lineRule="exact"/>
              <w:rPr>
                <w:sz w:val="20"/>
                <w:szCs w:val="20"/>
                <w:color w:val="auto"/>
              </w:rPr>
            </w:pPr>
            <w:r>
              <w:rPr>
                <w:rFonts w:ascii="Arial" w:cs="Arial" w:eastAsia="Arial" w:hAnsi="Arial"/>
                <w:sz w:val="13"/>
                <w:szCs w:val="13"/>
                <w:color w:val="FFFFFE"/>
              </w:rPr>
              <w:t>compensation ($)</w:t>
            </w:r>
            <w:r>
              <w:rPr>
                <w:rFonts w:ascii="Arial" w:cs="Arial" w:eastAsia="Arial" w:hAnsi="Arial"/>
                <w:sz w:val="20"/>
                <w:szCs w:val="20"/>
                <w:color w:val="FFFFFE"/>
                <w:vertAlign w:val="superscript"/>
              </w:rPr>
              <w:t>3</w:t>
            </w:r>
          </w:p>
        </w:tc>
        <w:tc>
          <w:tcPr>
            <w:tcW w:w="94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Total ($)</w:t>
            </w:r>
          </w:p>
        </w:tc>
      </w:tr>
      <w:tr>
        <w:trPr>
          <w:trHeight w:val="162"/>
        </w:trPr>
        <w:tc>
          <w:tcPr>
            <w:tcW w:w="3660" w:type="dxa"/>
            <w:vAlign w:val="bottom"/>
            <w:shd w:val="clear" w:color="auto" w:fill="5668B0"/>
          </w:tcPr>
          <w:p>
            <w:pPr>
              <w:ind w:left="560"/>
              <w:spacing w:after="0"/>
              <w:rPr>
                <w:sz w:val="20"/>
                <w:szCs w:val="20"/>
                <w:color w:val="auto"/>
              </w:rPr>
            </w:pPr>
            <w:r>
              <w:rPr>
                <w:rFonts w:ascii="Arial" w:cs="Arial" w:eastAsia="Arial" w:hAnsi="Arial"/>
                <w:sz w:val="13"/>
                <w:szCs w:val="13"/>
                <w:color w:val="FFFFFE"/>
              </w:rPr>
              <w:t>(a)</w:t>
            </w:r>
          </w:p>
        </w:tc>
        <w:tc>
          <w:tcPr>
            <w:tcW w:w="880" w:type="dxa"/>
            <w:vAlign w:val="bottom"/>
            <w:shd w:val="clear" w:color="auto" w:fill="5668B0"/>
          </w:tcPr>
          <w:p>
            <w:pPr>
              <w:jc w:val="right"/>
              <w:ind w:right="59"/>
              <w:spacing w:after="0"/>
              <w:rPr>
                <w:sz w:val="20"/>
                <w:szCs w:val="20"/>
                <w:color w:val="auto"/>
              </w:rPr>
            </w:pPr>
            <w:r>
              <w:rPr>
                <w:rFonts w:ascii="Arial" w:cs="Arial" w:eastAsia="Arial" w:hAnsi="Arial"/>
                <w:sz w:val="13"/>
                <w:szCs w:val="13"/>
                <w:color w:val="FFFFFE"/>
              </w:rPr>
              <w:t>(b)</w:t>
            </w:r>
          </w:p>
        </w:tc>
        <w:tc>
          <w:tcPr>
            <w:tcW w:w="1080" w:type="dxa"/>
            <w:vAlign w:val="bottom"/>
            <w:shd w:val="clear" w:color="auto" w:fill="5668B0"/>
          </w:tcPr>
          <w:p>
            <w:pPr>
              <w:jc w:val="right"/>
              <w:ind w:right="140"/>
              <w:spacing w:after="0"/>
              <w:rPr>
                <w:sz w:val="20"/>
                <w:szCs w:val="20"/>
                <w:color w:val="auto"/>
              </w:rPr>
            </w:pPr>
            <w:r>
              <w:rPr>
                <w:rFonts w:ascii="Arial" w:cs="Arial" w:eastAsia="Arial" w:hAnsi="Arial"/>
                <w:sz w:val="13"/>
                <w:szCs w:val="13"/>
                <w:color w:val="FFFFFE"/>
              </w:rPr>
              <w:t>(c)</w:t>
            </w:r>
          </w:p>
        </w:tc>
        <w:tc>
          <w:tcPr>
            <w:tcW w:w="1060" w:type="dxa"/>
            <w:vAlign w:val="bottom"/>
            <w:shd w:val="clear" w:color="auto" w:fill="5668B0"/>
          </w:tcPr>
          <w:p>
            <w:pPr>
              <w:jc w:val="right"/>
              <w:ind w:right="181"/>
              <w:spacing w:after="0"/>
              <w:rPr>
                <w:sz w:val="20"/>
                <w:szCs w:val="20"/>
                <w:color w:val="auto"/>
              </w:rPr>
            </w:pPr>
            <w:r>
              <w:rPr>
                <w:rFonts w:ascii="Arial" w:cs="Arial" w:eastAsia="Arial" w:hAnsi="Arial"/>
                <w:sz w:val="13"/>
                <w:szCs w:val="13"/>
                <w:color w:val="FFFFFE"/>
              </w:rPr>
              <w:t>(d)</w:t>
            </w:r>
          </w:p>
        </w:tc>
        <w:tc>
          <w:tcPr>
            <w:tcW w:w="1100" w:type="dxa"/>
            <w:vAlign w:val="bottom"/>
            <w:shd w:val="clear" w:color="auto" w:fill="5668B0"/>
          </w:tcPr>
          <w:p>
            <w:pPr>
              <w:jc w:val="right"/>
              <w:ind w:right="161"/>
              <w:spacing w:after="0"/>
              <w:rPr>
                <w:sz w:val="20"/>
                <w:szCs w:val="20"/>
                <w:color w:val="auto"/>
              </w:rPr>
            </w:pPr>
            <w:r>
              <w:rPr>
                <w:rFonts w:ascii="Arial" w:cs="Arial" w:eastAsia="Arial" w:hAnsi="Arial"/>
                <w:sz w:val="13"/>
                <w:szCs w:val="13"/>
                <w:color w:val="FFFFFE"/>
              </w:rPr>
              <w:t>(e)</w:t>
            </w:r>
          </w:p>
        </w:tc>
        <w:tc>
          <w:tcPr>
            <w:tcW w:w="1080" w:type="dxa"/>
            <w:vAlign w:val="bottom"/>
            <w:shd w:val="clear" w:color="auto" w:fill="5668B0"/>
          </w:tcPr>
          <w:p>
            <w:pPr>
              <w:jc w:val="right"/>
              <w:ind w:right="131"/>
              <w:spacing w:after="0"/>
              <w:rPr>
                <w:sz w:val="20"/>
                <w:szCs w:val="20"/>
                <w:color w:val="auto"/>
              </w:rPr>
            </w:pPr>
            <w:r>
              <w:rPr>
                <w:rFonts w:ascii="Arial" w:cs="Arial" w:eastAsia="Arial" w:hAnsi="Arial"/>
                <w:sz w:val="13"/>
                <w:szCs w:val="13"/>
                <w:color w:val="FFFFFE"/>
              </w:rPr>
              <w:t>(f)</w:t>
            </w:r>
          </w:p>
        </w:tc>
        <w:tc>
          <w:tcPr>
            <w:tcW w:w="1480" w:type="dxa"/>
            <w:vAlign w:val="bottom"/>
            <w:shd w:val="clear" w:color="auto" w:fill="5668B0"/>
          </w:tcPr>
          <w:p>
            <w:pPr>
              <w:jc w:val="right"/>
              <w:ind w:right="184"/>
              <w:spacing w:after="0"/>
              <w:rPr>
                <w:sz w:val="20"/>
                <w:szCs w:val="20"/>
                <w:color w:val="auto"/>
              </w:rPr>
            </w:pPr>
            <w:r>
              <w:rPr>
                <w:rFonts w:ascii="Arial" w:cs="Arial" w:eastAsia="Arial" w:hAnsi="Arial"/>
                <w:sz w:val="13"/>
                <w:szCs w:val="13"/>
                <w:color w:val="FFFFFE"/>
              </w:rPr>
              <w:t>(i)</w:t>
            </w:r>
          </w:p>
        </w:tc>
        <w:tc>
          <w:tcPr>
            <w:tcW w:w="94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(j)</w:t>
            </w:r>
          </w:p>
        </w:tc>
      </w:tr>
      <w:tr>
        <w:trPr>
          <w:trHeight w:val="137"/>
        </w:trPr>
        <w:tc>
          <w:tcPr>
            <w:tcW w:w="3660" w:type="dxa"/>
            <w:vAlign w:val="bottom"/>
            <w:shd w:val="clear" w:color="auto" w:fill="5668B0"/>
          </w:tcPr>
          <w:p>
            <w:pPr>
              <w:spacing w:after="0"/>
              <w:rPr>
                <w:sz w:val="11"/>
                <w:szCs w:val="11"/>
                <w:color w:val="auto"/>
              </w:rPr>
            </w:pPr>
          </w:p>
        </w:tc>
        <w:tc>
          <w:tcPr>
            <w:tcW w:w="880" w:type="dxa"/>
            <w:vAlign w:val="bottom"/>
            <w:shd w:val="clear" w:color="auto" w:fill="5668B0"/>
          </w:tcPr>
          <w:p>
            <w:pPr>
              <w:spacing w:after="0"/>
              <w:rPr>
                <w:sz w:val="11"/>
                <w:szCs w:val="11"/>
                <w:color w:val="auto"/>
              </w:rPr>
            </w:pPr>
          </w:p>
        </w:tc>
        <w:tc>
          <w:tcPr>
            <w:tcW w:w="1080" w:type="dxa"/>
            <w:vAlign w:val="bottom"/>
            <w:shd w:val="clear" w:color="auto" w:fill="5668B0"/>
          </w:tcPr>
          <w:p>
            <w:pPr>
              <w:spacing w:after="0"/>
              <w:rPr>
                <w:sz w:val="11"/>
                <w:szCs w:val="11"/>
                <w:color w:val="auto"/>
              </w:rPr>
            </w:pPr>
          </w:p>
        </w:tc>
        <w:tc>
          <w:tcPr>
            <w:tcW w:w="1060" w:type="dxa"/>
            <w:vAlign w:val="bottom"/>
            <w:shd w:val="clear" w:color="auto" w:fill="5668B0"/>
          </w:tcPr>
          <w:p>
            <w:pPr>
              <w:spacing w:after="0"/>
              <w:rPr>
                <w:sz w:val="11"/>
                <w:szCs w:val="11"/>
                <w:color w:val="auto"/>
              </w:rPr>
            </w:pPr>
          </w:p>
        </w:tc>
        <w:tc>
          <w:tcPr>
            <w:tcW w:w="1100" w:type="dxa"/>
            <w:vAlign w:val="bottom"/>
            <w:shd w:val="clear" w:color="auto" w:fill="5668B0"/>
          </w:tcPr>
          <w:p>
            <w:pPr>
              <w:spacing w:after="0"/>
              <w:rPr>
                <w:sz w:val="11"/>
                <w:szCs w:val="11"/>
                <w:color w:val="auto"/>
              </w:rPr>
            </w:pPr>
          </w:p>
        </w:tc>
        <w:tc>
          <w:tcPr>
            <w:tcW w:w="1080" w:type="dxa"/>
            <w:vAlign w:val="bottom"/>
            <w:shd w:val="clear" w:color="auto" w:fill="5668B0"/>
          </w:tcPr>
          <w:p>
            <w:pPr>
              <w:spacing w:after="0"/>
              <w:rPr>
                <w:sz w:val="11"/>
                <w:szCs w:val="11"/>
                <w:color w:val="auto"/>
              </w:rPr>
            </w:pPr>
          </w:p>
        </w:tc>
        <w:tc>
          <w:tcPr>
            <w:tcW w:w="1480" w:type="dxa"/>
            <w:vAlign w:val="bottom"/>
            <w:shd w:val="clear" w:color="auto" w:fill="5668B0"/>
          </w:tcPr>
          <w:p>
            <w:pPr>
              <w:spacing w:after="0"/>
              <w:rPr>
                <w:sz w:val="11"/>
                <w:szCs w:val="11"/>
                <w:color w:val="auto"/>
              </w:rPr>
            </w:pPr>
          </w:p>
        </w:tc>
        <w:tc>
          <w:tcPr>
            <w:tcW w:w="940" w:type="dxa"/>
            <w:vAlign w:val="bottom"/>
            <w:shd w:val="clear" w:color="auto" w:fill="5668B0"/>
          </w:tcPr>
          <w:p>
            <w:pPr>
              <w:spacing w:after="0"/>
              <w:rPr>
                <w:sz w:val="11"/>
                <w:szCs w:val="11"/>
                <w:color w:val="auto"/>
              </w:rPr>
            </w:pPr>
          </w:p>
        </w:tc>
      </w:tr>
      <w:tr>
        <w:trPr>
          <w:trHeight w:val="190"/>
        </w:trPr>
        <w:tc>
          <w:tcPr>
            <w:tcW w:w="3660" w:type="dxa"/>
            <w:vAlign w:val="bottom"/>
            <w:shd w:val="clear" w:color="auto" w:fill="E6ECF8"/>
          </w:tcPr>
          <w:p>
            <w:pPr>
              <w:ind w:left="560"/>
              <w:spacing w:after="0"/>
              <w:rPr>
                <w:sz w:val="20"/>
                <w:szCs w:val="20"/>
                <w:color w:val="auto"/>
              </w:rPr>
            </w:pPr>
            <w:r>
              <w:rPr>
                <w:rFonts w:ascii="Arial" w:cs="Arial" w:eastAsia="Arial" w:hAnsi="Arial"/>
                <w:sz w:val="16"/>
                <w:szCs w:val="16"/>
                <w:color w:val="auto"/>
              </w:rPr>
              <w:t>Leonard S. Schleifer, M.D., Ph.D.</w:t>
            </w:r>
          </w:p>
        </w:tc>
        <w:tc>
          <w:tcPr>
            <w:tcW w:w="880" w:type="dxa"/>
            <w:vAlign w:val="bottom"/>
            <w:shd w:val="clear" w:color="auto" w:fill="E6ECF8"/>
          </w:tcPr>
          <w:p>
            <w:pPr>
              <w:jc w:val="right"/>
              <w:ind w:right="59"/>
              <w:spacing w:after="0"/>
              <w:rPr>
                <w:sz w:val="20"/>
                <w:szCs w:val="20"/>
                <w:color w:val="auto"/>
              </w:rPr>
            </w:pPr>
            <w:r>
              <w:rPr>
                <w:rFonts w:ascii="Arial" w:cs="Arial" w:eastAsia="Arial" w:hAnsi="Arial"/>
                <w:sz w:val="16"/>
                <w:szCs w:val="16"/>
                <w:color w:val="auto"/>
              </w:rPr>
              <w:t>2015</w:t>
            </w:r>
          </w:p>
        </w:tc>
        <w:tc>
          <w:tcPr>
            <w:tcW w:w="1080" w:type="dxa"/>
            <w:vAlign w:val="bottom"/>
            <w:shd w:val="clear" w:color="auto" w:fill="E6ECF8"/>
          </w:tcPr>
          <w:p>
            <w:pPr>
              <w:jc w:val="right"/>
              <w:ind w:right="140"/>
              <w:spacing w:after="0"/>
              <w:rPr>
                <w:sz w:val="20"/>
                <w:szCs w:val="20"/>
                <w:color w:val="auto"/>
              </w:rPr>
            </w:pPr>
            <w:r>
              <w:rPr>
                <w:rFonts w:ascii="Arial" w:cs="Arial" w:eastAsia="Arial" w:hAnsi="Arial"/>
                <w:sz w:val="16"/>
                <w:szCs w:val="16"/>
                <w:color w:val="auto"/>
              </w:rPr>
              <w:t>1,200,000</w:t>
            </w:r>
          </w:p>
        </w:tc>
        <w:tc>
          <w:tcPr>
            <w:tcW w:w="1060" w:type="dxa"/>
            <w:vAlign w:val="bottom"/>
            <w:shd w:val="clear" w:color="auto" w:fill="E6ECF8"/>
          </w:tcPr>
          <w:p>
            <w:pPr>
              <w:jc w:val="right"/>
              <w:ind w:right="181"/>
              <w:spacing w:after="0"/>
              <w:rPr>
                <w:sz w:val="20"/>
                <w:szCs w:val="20"/>
                <w:color w:val="auto"/>
              </w:rPr>
            </w:pPr>
            <w:r>
              <w:rPr>
                <w:rFonts w:ascii="Arial" w:cs="Arial" w:eastAsia="Arial" w:hAnsi="Arial"/>
                <w:sz w:val="16"/>
                <w:szCs w:val="16"/>
                <w:color w:val="auto"/>
              </w:rPr>
              <w:t>2,880,000</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right"/>
              <w:ind w:right="51"/>
              <w:spacing w:after="0" w:line="190" w:lineRule="exact"/>
              <w:rPr>
                <w:sz w:val="20"/>
                <w:szCs w:val="20"/>
                <w:color w:val="auto"/>
              </w:rPr>
            </w:pPr>
            <w:r>
              <w:rPr>
                <w:rFonts w:ascii="Arial" w:cs="Arial" w:eastAsia="Arial" w:hAnsi="Arial"/>
                <w:sz w:val="14"/>
                <w:szCs w:val="14"/>
                <w:color w:val="auto"/>
              </w:rPr>
              <w:t>43,307,918</w:t>
            </w:r>
            <w:r>
              <w:rPr>
                <w:rFonts w:ascii="Arial" w:cs="Arial" w:eastAsia="Arial" w:hAnsi="Arial"/>
                <w:sz w:val="22"/>
                <w:szCs w:val="22"/>
                <w:color w:val="5668B0"/>
                <w:vertAlign w:val="superscript"/>
              </w:rPr>
              <w:t>4</w:t>
            </w:r>
          </w:p>
        </w:tc>
        <w:tc>
          <w:tcPr>
            <w:tcW w:w="1480" w:type="dxa"/>
            <w:vAlign w:val="bottom"/>
            <w:shd w:val="clear" w:color="auto" w:fill="E6ECF8"/>
          </w:tcPr>
          <w:p>
            <w:pPr>
              <w:ind w:left="720"/>
              <w:spacing w:after="0" w:line="190" w:lineRule="exact"/>
              <w:rPr>
                <w:sz w:val="20"/>
                <w:szCs w:val="20"/>
                <w:color w:val="auto"/>
              </w:rPr>
            </w:pPr>
            <w:r>
              <w:rPr>
                <w:rFonts w:ascii="Arial" w:cs="Arial" w:eastAsia="Arial" w:hAnsi="Arial"/>
                <w:sz w:val="14"/>
                <w:szCs w:val="14"/>
                <w:color w:val="auto"/>
              </w:rPr>
              <w:t>74,608</w:t>
            </w:r>
            <w:r>
              <w:rPr>
                <w:rFonts w:ascii="Arial" w:cs="Arial" w:eastAsia="Arial" w:hAnsi="Arial"/>
                <w:sz w:val="22"/>
                <w:szCs w:val="22"/>
                <w:color w:val="5668B0"/>
                <w:vertAlign w:val="superscript"/>
              </w:rPr>
              <w:t>5</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47,462,526</w:t>
            </w:r>
          </w:p>
        </w:tc>
      </w:tr>
      <w:tr>
        <w:trPr>
          <w:trHeight w:val="190"/>
        </w:trPr>
        <w:tc>
          <w:tcPr>
            <w:tcW w:w="3660" w:type="dxa"/>
            <w:vAlign w:val="bottom"/>
            <w:shd w:val="clear" w:color="auto" w:fill="E6ECF8"/>
          </w:tcPr>
          <w:p>
            <w:pPr>
              <w:ind w:left="740"/>
              <w:spacing w:after="0"/>
              <w:rPr>
                <w:sz w:val="20"/>
                <w:szCs w:val="20"/>
                <w:color w:val="auto"/>
              </w:rPr>
            </w:pPr>
            <w:r>
              <w:rPr>
                <w:rFonts w:ascii="Arial" w:cs="Arial" w:eastAsia="Arial" w:hAnsi="Arial"/>
                <w:sz w:val="16"/>
                <w:szCs w:val="16"/>
                <w:i w:val="1"/>
                <w:iCs w:val="1"/>
                <w:color w:val="auto"/>
              </w:rPr>
              <w:t>President and Chief</w:t>
            </w:r>
          </w:p>
        </w:tc>
        <w:tc>
          <w:tcPr>
            <w:tcW w:w="880" w:type="dxa"/>
            <w:vAlign w:val="bottom"/>
            <w:shd w:val="clear" w:color="auto" w:fill="E6ECF8"/>
          </w:tcPr>
          <w:p>
            <w:pPr>
              <w:jc w:val="right"/>
              <w:ind w:right="59"/>
              <w:spacing w:after="0"/>
              <w:rPr>
                <w:sz w:val="20"/>
                <w:szCs w:val="20"/>
                <w:color w:val="auto"/>
              </w:rPr>
            </w:pPr>
            <w:r>
              <w:rPr>
                <w:rFonts w:ascii="Arial" w:cs="Arial" w:eastAsia="Arial" w:hAnsi="Arial"/>
                <w:sz w:val="16"/>
                <w:szCs w:val="16"/>
                <w:color w:val="auto"/>
              </w:rPr>
              <w:t>2014</w:t>
            </w:r>
          </w:p>
        </w:tc>
        <w:tc>
          <w:tcPr>
            <w:tcW w:w="1080" w:type="dxa"/>
            <w:vAlign w:val="bottom"/>
            <w:shd w:val="clear" w:color="auto" w:fill="E6ECF8"/>
          </w:tcPr>
          <w:p>
            <w:pPr>
              <w:jc w:val="right"/>
              <w:ind w:right="140"/>
              <w:spacing w:after="0"/>
              <w:rPr>
                <w:sz w:val="20"/>
                <w:szCs w:val="20"/>
                <w:color w:val="auto"/>
              </w:rPr>
            </w:pPr>
            <w:r>
              <w:rPr>
                <w:rFonts w:ascii="Arial" w:cs="Arial" w:eastAsia="Arial" w:hAnsi="Arial"/>
                <w:sz w:val="16"/>
                <w:szCs w:val="16"/>
                <w:color w:val="auto"/>
              </w:rPr>
              <w:t>1,071,200</w:t>
            </w:r>
          </w:p>
        </w:tc>
        <w:tc>
          <w:tcPr>
            <w:tcW w:w="1060" w:type="dxa"/>
            <w:vAlign w:val="bottom"/>
            <w:shd w:val="clear" w:color="auto" w:fill="E6ECF8"/>
          </w:tcPr>
          <w:p>
            <w:pPr>
              <w:jc w:val="right"/>
              <w:ind w:right="181"/>
              <w:spacing w:after="0"/>
              <w:rPr>
                <w:sz w:val="20"/>
                <w:szCs w:val="20"/>
                <w:color w:val="auto"/>
              </w:rPr>
            </w:pPr>
            <w:r>
              <w:rPr>
                <w:rFonts w:ascii="Arial" w:cs="Arial" w:eastAsia="Arial" w:hAnsi="Arial"/>
                <w:sz w:val="16"/>
                <w:szCs w:val="16"/>
                <w:color w:val="auto"/>
              </w:rPr>
              <w:t>2,142,400</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right"/>
              <w:ind w:right="51"/>
              <w:spacing w:after="0" w:line="190" w:lineRule="exact"/>
              <w:rPr>
                <w:sz w:val="20"/>
                <w:szCs w:val="20"/>
                <w:color w:val="auto"/>
              </w:rPr>
            </w:pPr>
            <w:r>
              <w:rPr>
                <w:rFonts w:ascii="Arial" w:cs="Arial" w:eastAsia="Arial" w:hAnsi="Arial"/>
                <w:sz w:val="14"/>
                <w:szCs w:val="14"/>
                <w:color w:val="auto"/>
              </w:rPr>
              <w:t>38,644,700</w:t>
            </w:r>
            <w:r>
              <w:rPr>
                <w:rFonts w:ascii="Arial" w:cs="Arial" w:eastAsia="Arial" w:hAnsi="Arial"/>
                <w:sz w:val="22"/>
                <w:szCs w:val="22"/>
                <w:color w:val="5668B0"/>
                <w:vertAlign w:val="superscript"/>
              </w:rPr>
              <w:t>6</w:t>
            </w:r>
          </w:p>
        </w:tc>
        <w:tc>
          <w:tcPr>
            <w:tcW w:w="1480" w:type="dxa"/>
            <w:vAlign w:val="bottom"/>
            <w:shd w:val="clear" w:color="auto" w:fill="E6ECF8"/>
          </w:tcPr>
          <w:p>
            <w:pPr>
              <w:jc w:val="right"/>
              <w:ind w:right="184"/>
              <w:spacing w:after="0"/>
              <w:rPr>
                <w:sz w:val="20"/>
                <w:szCs w:val="20"/>
                <w:color w:val="auto"/>
              </w:rPr>
            </w:pPr>
            <w:r>
              <w:rPr>
                <w:rFonts w:ascii="Arial" w:cs="Arial" w:eastAsia="Arial" w:hAnsi="Arial"/>
                <w:sz w:val="16"/>
                <w:szCs w:val="16"/>
                <w:color w:val="auto"/>
              </w:rPr>
              <w:t>107,124</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41,965,424</w:t>
            </w:r>
          </w:p>
        </w:tc>
      </w:tr>
      <w:tr>
        <w:trPr>
          <w:trHeight w:val="190"/>
        </w:trPr>
        <w:tc>
          <w:tcPr>
            <w:tcW w:w="3660" w:type="dxa"/>
            <w:vAlign w:val="bottom"/>
            <w:tcBorders>
              <w:bottom w:val="single" w:sz="8" w:color="5668B0"/>
            </w:tcBorders>
            <w:shd w:val="clear" w:color="auto" w:fill="E6ECF8"/>
          </w:tcPr>
          <w:p>
            <w:pPr>
              <w:ind w:left="740"/>
              <w:spacing w:after="0"/>
              <w:rPr>
                <w:sz w:val="20"/>
                <w:szCs w:val="20"/>
                <w:color w:val="auto"/>
              </w:rPr>
            </w:pPr>
            <w:r>
              <w:rPr>
                <w:rFonts w:ascii="Arial" w:cs="Arial" w:eastAsia="Arial" w:hAnsi="Arial"/>
                <w:sz w:val="16"/>
                <w:szCs w:val="16"/>
                <w:i w:val="1"/>
                <w:iCs w:val="1"/>
                <w:color w:val="auto"/>
              </w:rPr>
              <w:t>Executive Officer</w:t>
            </w:r>
          </w:p>
        </w:tc>
        <w:tc>
          <w:tcPr>
            <w:tcW w:w="880" w:type="dxa"/>
            <w:vAlign w:val="bottom"/>
            <w:tcBorders>
              <w:bottom w:val="single" w:sz="8" w:color="5668B0"/>
            </w:tcBorders>
            <w:shd w:val="clear" w:color="auto" w:fill="E6ECF8"/>
          </w:tcPr>
          <w:p>
            <w:pPr>
              <w:jc w:val="right"/>
              <w:ind w:right="59"/>
              <w:spacing w:after="0"/>
              <w:rPr>
                <w:sz w:val="20"/>
                <w:szCs w:val="20"/>
                <w:color w:val="auto"/>
              </w:rPr>
            </w:pPr>
            <w:r>
              <w:rPr>
                <w:rFonts w:ascii="Arial" w:cs="Arial" w:eastAsia="Arial" w:hAnsi="Arial"/>
                <w:sz w:val="16"/>
                <w:szCs w:val="16"/>
                <w:color w:val="auto"/>
              </w:rPr>
              <w:t>2013</w:t>
            </w:r>
          </w:p>
        </w:tc>
        <w:tc>
          <w:tcPr>
            <w:tcW w:w="1080" w:type="dxa"/>
            <w:vAlign w:val="bottom"/>
            <w:tcBorders>
              <w:bottom w:val="single" w:sz="8" w:color="5668B0"/>
            </w:tcBorders>
            <w:shd w:val="clear" w:color="auto" w:fill="E6ECF8"/>
          </w:tcPr>
          <w:p>
            <w:pPr>
              <w:jc w:val="right"/>
              <w:ind w:right="140"/>
              <w:spacing w:after="0"/>
              <w:rPr>
                <w:sz w:val="20"/>
                <w:szCs w:val="20"/>
                <w:color w:val="auto"/>
              </w:rPr>
            </w:pPr>
            <w:r>
              <w:rPr>
                <w:rFonts w:ascii="Arial" w:cs="Arial" w:eastAsia="Arial" w:hAnsi="Arial"/>
                <w:sz w:val="16"/>
                <w:szCs w:val="16"/>
                <w:color w:val="auto"/>
              </w:rPr>
              <w:t>1,035,000</w:t>
            </w:r>
          </w:p>
        </w:tc>
        <w:tc>
          <w:tcPr>
            <w:tcW w:w="1060" w:type="dxa"/>
            <w:vAlign w:val="bottom"/>
            <w:tcBorders>
              <w:bottom w:val="single" w:sz="8" w:color="5668B0"/>
            </w:tcBorders>
            <w:shd w:val="clear" w:color="auto" w:fill="E6ECF8"/>
          </w:tcPr>
          <w:p>
            <w:pPr>
              <w:jc w:val="right"/>
              <w:ind w:right="181"/>
              <w:spacing w:after="0"/>
              <w:rPr>
                <w:sz w:val="20"/>
                <w:szCs w:val="20"/>
                <w:color w:val="auto"/>
              </w:rPr>
            </w:pPr>
            <w:r>
              <w:rPr>
                <w:rFonts w:ascii="Arial" w:cs="Arial" w:eastAsia="Arial" w:hAnsi="Arial"/>
                <w:sz w:val="16"/>
                <w:szCs w:val="16"/>
                <w:color w:val="auto"/>
              </w:rPr>
              <w:t>2,070,000</w:t>
            </w:r>
          </w:p>
        </w:tc>
        <w:tc>
          <w:tcPr>
            <w:tcW w:w="1100" w:type="dxa"/>
            <w:vAlign w:val="bottom"/>
            <w:tcBorders>
              <w:bottom w:val="single" w:sz="8" w:color="5668B0"/>
            </w:tcBorders>
            <w:shd w:val="clear" w:color="auto" w:fill="E6ECF8"/>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5668B0"/>
            </w:tcBorders>
            <w:shd w:val="clear" w:color="auto" w:fill="E6ECF8"/>
          </w:tcPr>
          <w:p>
            <w:pPr>
              <w:jc w:val="right"/>
              <w:ind w:right="51"/>
              <w:spacing w:after="0" w:line="190" w:lineRule="exact"/>
              <w:rPr>
                <w:sz w:val="20"/>
                <w:szCs w:val="20"/>
                <w:color w:val="auto"/>
              </w:rPr>
            </w:pPr>
            <w:r>
              <w:rPr>
                <w:rFonts w:ascii="Arial" w:cs="Arial" w:eastAsia="Arial" w:hAnsi="Arial"/>
                <w:sz w:val="14"/>
                <w:szCs w:val="14"/>
                <w:color w:val="auto"/>
              </w:rPr>
              <w:t>33,062,325</w:t>
            </w:r>
            <w:r>
              <w:rPr>
                <w:rFonts w:ascii="Arial" w:cs="Arial" w:eastAsia="Arial" w:hAnsi="Arial"/>
                <w:sz w:val="22"/>
                <w:szCs w:val="22"/>
                <w:color w:val="5668B0"/>
                <w:vertAlign w:val="superscript"/>
              </w:rPr>
              <w:t>7</w:t>
            </w:r>
          </w:p>
        </w:tc>
        <w:tc>
          <w:tcPr>
            <w:tcW w:w="1480" w:type="dxa"/>
            <w:vAlign w:val="bottom"/>
            <w:tcBorders>
              <w:bottom w:val="single" w:sz="8" w:color="5668B0"/>
            </w:tcBorders>
            <w:shd w:val="clear" w:color="auto" w:fill="E6ECF8"/>
          </w:tcPr>
          <w:p>
            <w:pPr>
              <w:jc w:val="right"/>
              <w:ind w:right="184"/>
              <w:spacing w:after="0"/>
              <w:rPr>
                <w:sz w:val="20"/>
                <w:szCs w:val="20"/>
                <w:color w:val="auto"/>
              </w:rPr>
            </w:pPr>
            <w:r>
              <w:rPr>
                <w:rFonts w:ascii="Arial" w:cs="Arial" w:eastAsia="Arial" w:hAnsi="Arial"/>
                <w:sz w:val="16"/>
                <w:szCs w:val="16"/>
                <w:color w:val="auto"/>
              </w:rPr>
              <w:t>105,340</w:t>
            </w:r>
          </w:p>
        </w:tc>
        <w:tc>
          <w:tcPr>
            <w:tcW w:w="94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36,272,665</w:t>
            </w:r>
          </w:p>
        </w:tc>
      </w:tr>
      <w:tr>
        <w:trPr>
          <w:trHeight w:val="182"/>
        </w:trPr>
        <w:tc>
          <w:tcPr>
            <w:tcW w:w="3660" w:type="dxa"/>
            <w:vAlign w:val="bottom"/>
            <w:shd w:val="clear" w:color="auto" w:fill="D0DBEF"/>
          </w:tcPr>
          <w:p>
            <w:pPr>
              <w:ind w:left="560"/>
              <w:spacing w:after="0" w:line="182" w:lineRule="exact"/>
              <w:rPr>
                <w:sz w:val="20"/>
                <w:szCs w:val="20"/>
                <w:color w:val="auto"/>
              </w:rPr>
            </w:pPr>
            <w:r>
              <w:rPr>
                <w:rFonts w:ascii="Arial" w:cs="Arial" w:eastAsia="Arial" w:hAnsi="Arial"/>
                <w:sz w:val="16"/>
                <w:szCs w:val="16"/>
                <w:color w:val="auto"/>
              </w:rPr>
              <w:t>George D. Yancopoulos, M.D., Ph.D.</w:t>
            </w:r>
          </w:p>
        </w:tc>
        <w:tc>
          <w:tcPr>
            <w:tcW w:w="880" w:type="dxa"/>
            <w:vAlign w:val="bottom"/>
            <w:shd w:val="clear" w:color="auto" w:fill="D0DBEF"/>
          </w:tcPr>
          <w:p>
            <w:pPr>
              <w:jc w:val="right"/>
              <w:ind w:right="59"/>
              <w:spacing w:after="0" w:line="182" w:lineRule="exact"/>
              <w:rPr>
                <w:sz w:val="20"/>
                <w:szCs w:val="20"/>
                <w:color w:val="auto"/>
              </w:rPr>
            </w:pPr>
            <w:r>
              <w:rPr>
                <w:rFonts w:ascii="Arial" w:cs="Arial" w:eastAsia="Arial" w:hAnsi="Arial"/>
                <w:sz w:val="16"/>
                <w:szCs w:val="16"/>
                <w:color w:val="auto"/>
              </w:rPr>
              <w:t>2015</w:t>
            </w:r>
          </w:p>
        </w:tc>
        <w:tc>
          <w:tcPr>
            <w:tcW w:w="1080" w:type="dxa"/>
            <w:vAlign w:val="bottom"/>
            <w:shd w:val="clear" w:color="auto" w:fill="D0DBEF"/>
          </w:tcPr>
          <w:p>
            <w:pPr>
              <w:jc w:val="right"/>
              <w:ind w:right="140"/>
              <w:spacing w:after="0" w:line="182" w:lineRule="exact"/>
              <w:rPr>
                <w:sz w:val="20"/>
                <w:szCs w:val="20"/>
                <w:color w:val="auto"/>
              </w:rPr>
            </w:pPr>
            <w:r>
              <w:rPr>
                <w:rFonts w:ascii="Arial" w:cs="Arial" w:eastAsia="Arial" w:hAnsi="Arial"/>
                <w:sz w:val="16"/>
                <w:szCs w:val="16"/>
                <w:color w:val="auto"/>
              </w:rPr>
              <w:t>1,020,000</w:t>
            </w:r>
          </w:p>
        </w:tc>
        <w:tc>
          <w:tcPr>
            <w:tcW w:w="1060" w:type="dxa"/>
            <w:vAlign w:val="bottom"/>
            <w:shd w:val="clear" w:color="auto" w:fill="D0DBEF"/>
          </w:tcPr>
          <w:p>
            <w:pPr>
              <w:jc w:val="right"/>
              <w:ind w:right="181"/>
              <w:spacing w:after="0" w:line="182" w:lineRule="exact"/>
              <w:rPr>
                <w:sz w:val="20"/>
                <w:szCs w:val="20"/>
                <w:color w:val="auto"/>
              </w:rPr>
            </w:pPr>
            <w:r>
              <w:rPr>
                <w:rFonts w:ascii="Arial" w:cs="Arial" w:eastAsia="Arial" w:hAnsi="Arial"/>
                <w:sz w:val="16"/>
                <w:szCs w:val="16"/>
                <w:color w:val="auto"/>
              </w:rPr>
              <w:t>2,448,000</w:t>
            </w:r>
          </w:p>
        </w:tc>
        <w:tc>
          <w:tcPr>
            <w:tcW w:w="1100" w:type="dxa"/>
            <w:vAlign w:val="bottom"/>
            <w:shd w:val="clear" w:color="auto" w:fill="D0DBEF"/>
          </w:tcPr>
          <w:p>
            <w:pPr>
              <w:jc w:val="right"/>
              <w:ind w:right="161"/>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D0DBEF"/>
          </w:tcPr>
          <w:p>
            <w:pPr>
              <w:jc w:val="right"/>
              <w:ind w:right="51"/>
              <w:spacing w:after="0" w:line="183" w:lineRule="exact"/>
              <w:rPr>
                <w:sz w:val="20"/>
                <w:szCs w:val="20"/>
                <w:color w:val="auto"/>
              </w:rPr>
            </w:pPr>
            <w:r>
              <w:rPr>
                <w:rFonts w:ascii="Arial" w:cs="Arial" w:eastAsia="Arial" w:hAnsi="Arial"/>
                <w:sz w:val="13"/>
                <w:szCs w:val="13"/>
                <w:color w:val="auto"/>
              </w:rPr>
              <w:t>36,811,837</w:t>
            </w:r>
            <w:r>
              <w:rPr>
                <w:rFonts w:ascii="Arial" w:cs="Arial" w:eastAsia="Arial" w:hAnsi="Arial"/>
                <w:sz w:val="21"/>
                <w:szCs w:val="21"/>
                <w:color w:val="5668B0"/>
                <w:vertAlign w:val="superscript"/>
              </w:rPr>
              <w:t>4</w:t>
            </w:r>
          </w:p>
        </w:tc>
        <w:tc>
          <w:tcPr>
            <w:tcW w:w="1480" w:type="dxa"/>
            <w:vAlign w:val="bottom"/>
            <w:shd w:val="clear" w:color="auto" w:fill="D0DBEF"/>
          </w:tcPr>
          <w:p>
            <w:pPr>
              <w:ind w:left="720"/>
              <w:spacing w:after="0" w:line="183" w:lineRule="exact"/>
              <w:rPr>
                <w:sz w:val="20"/>
                <w:szCs w:val="20"/>
                <w:color w:val="auto"/>
              </w:rPr>
            </w:pPr>
            <w:r>
              <w:rPr>
                <w:rFonts w:ascii="Arial" w:cs="Arial" w:eastAsia="Arial" w:hAnsi="Arial"/>
                <w:sz w:val="13"/>
                <w:szCs w:val="13"/>
                <w:color w:val="auto"/>
              </w:rPr>
              <w:t>22,519</w:t>
            </w:r>
            <w:r>
              <w:rPr>
                <w:rFonts w:ascii="Arial" w:cs="Arial" w:eastAsia="Arial" w:hAnsi="Arial"/>
                <w:sz w:val="21"/>
                <w:szCs w:val="21"/>
                <w:color w:val="5668B0"/>
                <w:vertAlign w:val="superscript"/>
              </w:rPr>
              <w:t>8</w:t>
            </w:r>
          </w:p>
        </w:tc>
        <w:tc>
          <w:tcPr>
            <w:tcW w:w="94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40,302,356</w:t>
            </w:r>
          </w:p>
        </w:tc>
      </w:tr>
      <w:tr>
        <w:trPr>
          <w:trHeight w:val="190"/>
        </w:trPr>
        <w:tc>
          <w:tcPr>
            <w:tcW w:w="3660" w:type="dxa"/>
            <w:vAlign w:val="bottom"/>
            <w:shd w:val="clear" w:color="auto" w:fill="D0DBEF"/>
          </w:tcPr>
          <w:p>
            <w:pPr>
              <w:ind w:left="740"/>
              <w:spacing w:after="0"/>
              <w:rPr>
                <w:sz w:val="20"/>
                <w:szCs w:val="20"/>
                <w:color w:val="auto"/>
              </w:rPr>
            </w:pPr>
            <w:r>
              <w:rPr>
                <w:rFonts w:ascii="Arial" w:cs="Arial" w:eastAsia="Arial" w:hAnsi="Arial"/>
                <w:sz w:val="16"/>
                <w:szCs w:val="16"/>
                <w:i w:val="1"/>
                <w:iCs w:val="1"/>
                <w:color w:val="auto"/>
              </w:rPr>
              <w:t>President, Regeneron Laboratories</w:t>
            </w:r>
          </w:p>
        </w:tc>
        <w:tc>
          <w:tcPr>
            <w:tcW w:w="880" w:type="dxa"/>
            <w:vAlign w:val="bottom"/>
            <w:shd w:val="clear" w:color="auto" w:fill="D0DBEF"/>
          </w:tcPr>
          <w:p>
            <w:pPr>
              <w:jc w:val="right"/>
              <w:ind w:right="59"/>
              <w:spacing w:after="0"/>
              <w:rPr>
                <w:sz w:val="20"/>
                <w:szCs w:val="20"/>
                <w:color w:val="auto"/>
              </w:rPr>
            </w:pPr>
            <w:r>
              <w:rPr>
                <w:rFonts w:ascii="Arial" w:cs="Arial" w:eastAsia="Arial" w:hAnsi="Arial"/>
                <w:sz w:val="16"/>
                <w:szCs w:val="16"/>
                <w:color w:val="auto"/>
              </w:rPr>
              <w:t>2014</w:t>
            </w:r>
          </w:p>
        </w:tc>
        <w:tc>
          <w:tcPr>
            <w:tcW w:w="1080" w:type="dxa"/>
            <w:vAlign w:val="bottom"/>
            <w:shd w:val="clear" w:color="auto" w:fill="D0DBEF"/>
          </w:tcPr>
          <w:p>
            <w:pPr>
              <w:jc w:val="right"/>
              <w:ind w:right="140"/>
              <w:spacing w:after="0"/>
              <w:rPr>
                <w:sz w:val="20"/>
                <w:szCs w:val="20"/>
                <w:color w:val="auto"/>
              </w:rPr>
            </w:pPr>
            <w:r>
              <w:rPr>
                <w:rFonts w:ascii="Arial" w:cs="Arial" w:eastAsia="Arial" w:hAnsi="Arial"/>
                <w:sz w:val="16"/>
                <w:szCs w:val="16"/>
                <w:color w:val="auto"/>
              </w:rPr>
              <w:t>910,500</w:t>
            </w:r>
          </w:p>
        </w:tc>
        <w:tc>
          <w:tcPr>
            <w:tcW w:w="1060" w:type="dxa"/>
            <w:vAlign w:val="bottom"/>
            <w:shd w:val="clear" w:color="auto" w:fill="D0DBEF"/>
          </w:tcPr>
          <w:p>
            <w:pPr>
              <w:jc w:val="right"/>
              <w:ind w:right="181"/>
              <w:spacing w:after="0"/>
              <w:rPr>
                <w:sz w:val="20"/>
                <w:szCs w:val="20"/>
                <w:color w:val="auto"/>
              </w:rPr>
            </w:pPr>
            <w:r>
              <w:rPr>
                <w:rFonts w:ascii="Arial" w:cs="Arial" w:eastAsia="Arial" w:hAnsi="Arial"/>
                <w:sz w:val="16"/>
                <w:szCs w:val="16"/>
                <w:color w:val="auto"/>
              </w:rPr>
              <w:t>1,821,040</w:t>
            </w:r>
          </w:p>
        </w:tc>
        <w:tc>
          <w:tcPr>
            <w:tcW w:w="1100" w:type="dxa"/>
            <w:vAlign w:val="bottom"/>
            <w:shd w:val="clear" w:color="auto" w:fill="D0DBEF"/>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D0DBEF"/>
          </w:tcPr>
          <w:p>
            <w:pPr>
              <w:jc w:val="right"/>
              <w:ind w:right="51"/>
              <w:spacing w:after="0" w:line="190" w:lineRule="exact"/>
              <w:rPr>
                <w:sz w:val="20"/>
                <w:szCs w:val="20"/>
                <w:color w:val="auto"/>
              </w:rPr>
            </w:pPr>
            <w:r>
              <w:rPr>
                <w:rFonts w:ascii="Arial" w:cs="Arial" w:eastAsia="Arial" w:hAnsi="Arial"/>
                <w:sz w:val="14"/>
                <w:szCs w:val="14"/>
                <w:color w:val="auto"/>
              </w:rPr>
              <w:t>32,744,746</w:t>
            </w:r>
            <w:r>
              <w:rPr>
                <w:rFonts w:ascii="Arial" w:cs="Arial" w:eastAsia="Arial" w:hAnsi="Arial"/>
                <w:sz w:val="22"/>
                <w:szCs w:val="22"/>
                <w:color w:val="5668B0"/>
                <w:vertAlign w:val="superscript"/>
              </w:rPr>
              <w:t>6</w:t>
            </w:r>
          </w:p>
        </w:tc>
        <w:tc>
          <w:tcPr>
            <w:tcW w:w="1480" w:type="dxa"/>
            <w:vAlign w:val="bottom"/>
            <w:shd w:val="clear" w:color="auto" w:fill="D0DBEF"/>
          </w:tcPr>
          <w:p>
            <w:pPr>
              <w:ind w:left="720"/>
              <w:spacing w:after="0"/>
              <w:rPr>
                <w:sz w:val="20"/>
                <w:szCs w:val="20"/>
                <w:color w:val="auto"/>
              </w:rPr>
            </w:pPr>
            <w:r>
              <w:rPr>
                <w:rFonts w:ascii="Arial" w:cs="Arial" w:eastAsia="Arial" w:hAnsi="Arial"/>
                <w:sz w:val="16"/>
                <w:szCs w:val="16"/>
                <w:color w:val="auto"/>
              </w:rPr>
              <w:t>30,525</w:t>
            </w: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35,506,811</w:t>
            </w:r>
          </w:p>
        </w:tc>
      </w:tr>
      <w:tr>
        <w:trPr>
          <w:trHeight w:val="190"/>
        </w:trPr>
        <w:tc>
          <w:tcPr>
            <w:tcW w:w="3660" w:type="dxa"/>
            <w:vAlign w:val="bottom"/>
            <w:tcBorders>
              <w:bottom w:val="single" w:sz="8" w:color="5668B0"/>
            </w:tcBorders>
            <w:shd w:val="clear" w:color="auto" w:fill="D0DBEF"/>
          </w:tcPr>
          <w:p>
            <w:pPr>
              <w:ind w:left="740"/>
              <w:spacing w:after="0"/>
              <w:rPr>
                <w:sz w:val="20"/>
                <w:szCs w:val="20"/>
                <w:color w:val="auto"/>
              </w:rPr>
            </w:pPr>
            <w:r>
              <w:rPr>
                <w:rFonts w:ascii="Arial" w:cs="Arial" w:eastAsia="Arial" w:hAnsi="Arial"/>
                <w:sz w:val="16"/>
                <w:szCs w:val="16"/>
                <w:i w:val="1"/>
                <w:iCs w:val="1"/>
                <w:color w:val="auto"/>
              </w:rPr>
              <w:t>and Chief Scientific Officer</w:t>
            </w:r>
          </w:p>
        </w:tc>
        <w:tc>
          <w:tcPr>
            <w:tcW w:w="880" w:type="dxa"/>
            <w:vAlign w:val="bottom"/>
            <w:tcBorders>
              <w:bottom w:val="single" w:sz="8" w:color="5668B0"/>
            </w:tcBorders>
            <w:shd w:val="clear" w:color="auto" w:fill="D0DBEF"/>
          </w:tcPr>
          <w:p>
            <w:pPr>
              <w:jc w:val="right"/>
              <w:ind w:right="59"/>
              <w:spacing w:after="0"/>
              <w:rPr>
                <w:sz w:val="20"/>
                <w:szCs w:val="20"/>
                <w:color w:val="auto"/>
              </w:rPr>
            </w:pPr>
            <w:r>
              <w:rPr>
                <w:rFonts w:ascii="Arial" w:cs="Arial" w:eastAsia="Arial" w:hAnsi="Arial"/>
                <w:sz w:val="16"/>
                <w:szCs w:val="16"/>
                <w:color w:val="auto"/>
              </w:rPr>
              <w:t>2013</w:t>
            </w:r>
          </w:p>
        </w:tc>
        <w:tc>
          <w:tcPr>
            <w:tcW w:w="1080" w:type="dxa"/>
            <w:vAlign w:val="bottom"/>
            <w:tcBorders>
              <w:bottom w:val="single" w:sz="8" w:color="5668B0"/>
            </w:tcBorders>
            <w:shd w:val="clear" w:color="auto" w:fill="D0DBEF"/>
          </w:tcPr>
          <w:p>
            <w:pPr>
              <w:jc w:val="right"/>
              <w:ind w:right="140"/>
              <w:spacing w:after="0"/>
              <w:rPr>
                <w:sz w:val="20"/>
                <w:szCs w:val="20"/>
                <w:color w:val="auto"/>
              </w:rPr>
            </w:pPr>
            <w:r>
              <w:rPr>
                <w:rFonts w:ascii="Arial" w:cs="Arial" w:eastAsia="Arial" w:hAnsi="Arial"/>
                <w:sz w:val="16"/>
                <w:szCs w:val="16"/>
                <w:color w:val="auto"/>
              </w:rPr>
              <w:t>879,800</w:t>
            </w:r>
          </w:p>
        </w:tc>
        <w:tc>
          <w:tcPr>
            <w:tcW w:w="1060" w:type="dxa"/>
            <w:vAlign w:val="bottom"/>
            <w:tcBorders>
              <w:bottom w:val="single" w:sz="8" w:color="5668B0"/>
            </w:tcBorders>
            <w:shd w:val="clear" w:color="auto" w:fill="D0DBEF"/>
          </w:tcPr>
          <w:p>
            <w:pPr>
              <w:jc w:val="right"/>
              <w:ind w:right="181"/>
              <w:spacing w:after="0"/>
              <w:rPr>
                <w:sz w:val="20"/>
                <w:szCs w:val="20"/>
                <w:color w:val="auto"/>
              </w:rPr>
            </w:pPr>
            <w:r>
              <w:rPr>
                <w:rFonts w:ascii="Arial" w:cs="Arial" w:eastAsia="Arial" w:hAnsi="Arial"/>
                <w:sz w:val="16"/>
                <w:szCs w:val="16"/>
                <w:color w:val="auto"/>
              </w:rPr>
              <w:t>1,759,500</w:t>
            </w:r>
          </w:p>
        </w:tc>
        <w:tc>
          <w:tcPr>
            <w:tcW w:w="1100" w:type="dxa"/>
            <w:vAlign w:val="bottom"/>
            <w:tcBorders>
              <w:bottom w:val="single" w:sz="8" w:color="5668B0"/>
            </w:tcBorders>
            <w:shd w:val="clear" w:color="auto" w:fill="D0DBEF"/>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5668B0"/>
            </w:tcBorders>
            <w:shd w:val="clear" w:color="auto" w:fill="D0DBEF"/>
          </w:tcPr>
          <w:p>
            <w:pPr>
              <w:jc w:val="right"/>
              <w:ind w:right="51"/>
              <w:spacing w:after="0" w:line="190" w:lineRule="exact"/>
              <w:rPr>
                <w:sz w:val="20"/>
                <w:szCs w:val="20"/>
                <w:color w:val="auto"/>
              </w:rPr>
            </w:pPr>
            <w:r>
              <w:rPr>
                <w:rFonts w:ascii="Arial" w:cs="Arial" w:eastAsia="Arial" w:hAnsi="Arial"/>
                <w:sz w:val="14"/>
                <w:szCs w:val="14"/>
                <w:color w:val="auto"/>
              </w:rPr>
              <w:t>28,096,838</w:t>
            </w:r>
            <w:r>
              <w:rPr>
                <w:rFonts w:ascii="Arial" w:cs="Arial" w:eastAsia="Arial" w:hAnsi="Arial"/>
                <w:sz w:val="22"/>
                <w:szCs w:val="22"/>
                <w:color w:val="5668B0"/>
                <w:vertAlign w:val="superscript"/>
              </w:rPr>
              <w:t>7</w:t>
            </w:r>
          </w:p>
        </w:tc>
        <w:tc>
          <w:tcPr>
            <w:tcW w:w="1480" w:type="dxa"/>
            <w:vAlign w:val="bottom"/>
            <w:tcBorders>
              <w:bottom w:val="single" w:sz="8" w:color="5668B0"/>
            </w:tcBorders>
            <w:shd w:val="clear" w:color="auto" w:fill="D0DBEF"/>
          </w:tcPr>
          <w:p>
            <w:pPr>
              <w:jc w:val="right"/>
              <w:ind w:right="184"/>
              <w:spacing w:after="0"/>
              <w:rPr>
                <w:sz w:val="20"/>
                <w:szCs w:val="20"/>
                <w:color w:val="auto"/>
              </w:rPr>
            </w:pPr>
            <w:r>
              <w:rPr>
                <w:rFonts w:ascii="Arial" w:cs="Arial" w:eastAsia="Arial" w:hAnsi="Arial"/>
                <w:sz w:val="16"/>
                <w:szCs w:val="16"/>
                <w:color w:val="auto"/>
              </w:rPr>
              <w:t>281,455</w:t>
            </w:r>
          </w:p>
        </w:tc>
        <w:tc>
          <w:tcPr>
            <w:tcW w:w="94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6"/>
                <w:szCs w:val="16"/>
                <w:color w:val="auto"/>
              </w:rPr>
              <w:t>31,017,593</w:t>
            </w:r>
          </w:p>
        </w:tc>
      </w:tr>
      <w:tr>
        <w:trPr>
          <w:trHeight w:val="182"/>
        </w:trPr>
        <w:tc>
          <w:tcPr>
            <w:tcW w:w="3660" w:type="dxa"/>
            <w:vAlign w:val="bottom"/>
            <w:shd w:val="clear" w:color="auto" w:fill="E6ECF8"/>
          </w:tcPr>
          <w:p>
            <w:pPr>
              <w:ind w:left="560"/>
              <w:spacing w:after="0" w:line="182" w:lineRule="exact"/>
              <w:rPr>
                <w:sz w:val="20"/>
                <w:szCs w:val="20"/>
                <w:color w:val="auto"/>
              </w:rPr>
            </w:pPr>
            <w:r>
              <w:rPr>
                <w:rFonts w:ascii="Arial" w:cs="Arial" w:eastAsia="Arial" w:hAnsi="Arial"/>
                <w:sz w:val="16"/>
                <w:szCs w:val="16"/>
                <w:color w:val="auto"/>
              </w:rPr>
              <w:t>Robert E. Landry</w:t>
            </w:r>
          </w:p>
        </w:tc>
        <w:tc>
          <w:tcPr>
            <w:tcW w:w="880" w:type="dxa"/>
            <w:vAlign w:val="bottom"/>
            <w:shd w:val="clear" w:color="auto" w:fill="E6ECF8"/>
          </w:tcPr>
          <w:p>
            <w:pPr>
              <w:jc w:val="right"/>
              <w:ind w:right="59"/>
              <w:spacing w:after="0" w:line="182" w:lineRule="exact"/>
              <w:rPr>
                <w:sz w:val="20"/>
                <w:szCs w:val="20"/>
                <w:color w:val="auto"/>
              </w:rPr>
            </w:pPr>
            <w:r>
              <w:rPr>
                <w:rFonts w:ascii="Arial" w:cs="Arial" w:eastAsia="Arial" w:hAnsi="Arial"/>
                <w:sz w:val="16"/>
                <w:szCs w:val="16"/>
                <w:color w:val="auto"/>
              </w:rPr>
              <w:t>2015</w:t>
            </w:r>
          </w:p>
        </w:tc>
        <w:tc>
          <w:tcPr>
            <w:tcW w:w="1080" w:type="dxa"/>
            <w:vAlign w:val="bottom"/>
            <w:shd w:val="clear" w:color="auto" w:fill="E6ECF8"/>
          </w:tcPr>
          <w:p>
            <w:pPr>
              <w:jc w:val="right"/>
              <w:ind w:right="140"/>
              <w:spacing w:after="0" w:line="182" w:lineRule="exact"/>
              <w:rPr>
                <w:sz w:val="20"/>
                <w:szCs w:val="20"/>
                <w:color w:val="auto"/>
              </w:rPr>
            </w:pPr>
            <w:r>
              <w:rPr>
                <w:rFonts w:ascii="Arial" w:cs="Arial" w:eastAsia="Arial" w:hAnsi="Arial"/>
                <w:sz w:val="16"/>
                <w:szCs w:val="16"/>
                <w:color w:val="auto"/>
              </w:rPr>
              <w:t>517,500</w:t>
            </w:r>
          </w:p>
        </w:tc>
        <w:tc>
          <w:tcPr>
            <w:tcW w:w="1060" w:type="dxa"/>
            <w:vAlign w:val="bottom"/>
            <w:shd w:val="clear" w:color="auto" w:fill="E6ECF8"/>
          </w:tcPr>
          <w:p>
            <w:pPr>
              <w:jc w:val="right"/>
              <w:ind w:right="181"/>
              <w:spacing w:after="0" w:line="182" w:lineRule="exact"/>
              <w:rPr>
                <w:sz w:val="20"/>
                <w:szCs w:val="20"/>
                <w:color w:val="auto"/>
              </w:rPr>
            </w:pPr>
            <w:r>
              <w:rPr>
                <w:rFonts w:ascii="Arial" w:cs="Arial" w:eastAsia="Arial" w:hAnsi="Arial"/>
                <w:sz w:val="16"/>
                <w:szCs w:val="16"/>
                <w:color w:val="auto"/>
              </w:rPr>
              <w:t>465,750</w:t>
            </w:r>
          </w:p>
        </w:tc>
        <w:tc>
          <w:tcPr>
            <w:tcW w:w="1100" w:type="dxa"/>
            <w:vAlign w:val="bottom"/>
            <w:shd w:val="clear" w:color="auto" w:fill="E6ECF8"/>
          </w:tcPr>
          <w:p>
            <w:pPr>
              <w:jc w:val="right"/>
              <w:ind w:right="161"/>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right"/>
              <w:ind w:right="51"/>
              <w:spacing w:after="0" w:line="183" w:lineRule="exact"/>
              <w:rPr>
                <w:sz w:val="20"/>
                <w:szCs w:val="20"/>
                <w:color w:val="auto"/>
              </w:rPr>
            </w:pPr>
            <w:r>
              <w:rPr>
                <w:rFonts w:ascii="Arial" w:cs="Arial" w:eastAsia="Arial" w:hAnsi="Arial"/>
                <w:sz w:val="13"/>
                <w:szCs w:val="13"/>
                <w:color w:val="auto"/>
              </w:rPr>
              <w:t>7,246,284</w:t>
            </w:r>
            <w:r>
              <w:rPr>
                <w:rFonts w:ascii="Arial" w:cs="Arial" w:eastAsia="Arial" w:hAnsi="Arial"/>
                <w:sz w:val="21"/>
                <w:szCs w:val="21"/>
                <w:color w:val="5668B0"/>
                <w:vertAlign w:val="superscript"/>
              </w:rPr>
              <w:t>4</w:t>
            </w:r>
          </w:p>
        </w:tc>
        <w:tc>
          <w:tcPr>
            <w:tcW w:w="1480" w:type="dxa"/>
            <w:vAlign w:val="bottom"/>
            <w:shd w:val="clear" w:color="auto" w:fill="E6ECF8"/>
          </w:tcPr>
          <w:p>
            <w:pPr>
              <w:ind w:left="720"/>
              <w:spacing w:after="0" w:line="183" w:lineRule="exact"/>
              <w:rPr>
                <w:sz w:val="20"/>
                <w:szCs w:val="20"/>
                <w:color w:val="auto"/>
              </w:rPr>
            </w:pPr>
            <w:r>
              <w:rPr>
                <w:rFonts w:ascii="Arial" w:cs="Arial" w:eastAsia="Arial" w:hAnsi="Arial"/>
                <w:sz w:val="13"/>
                <w:szCs w:val="13"/>
                <w:color w:val="auto"/>
              </w:rPr>
              <w:t>19,360</w:t>
            </w:r>
            <w:r>
              <w:rPr>
                <w:rFonts w:ascii="Arial" w:cs="Arial" w:eastAsia="Arial" w:hAnsi="Arial"/>
                <w:sz w:val="21"/>
                <w:szCs w:val="21"/>
                <w:color w:val="5668B0"/>
                <w:vertAlign w:val="superscript"/>
              </w:rPr>
              <w:t>9</w:t>
            </w:r>
          </w:p>
        </w:tc>
        <w:tc>
          <w:tcPr>
            <w:tcW w:w="94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8,248,894</w:t>
            </w:r>
          </w:p>
        </w:tc>
      </w:tr>
      <w:tr>
        <w:trPr>
          <w:trHeight w:val="190"/>
        </w:trPr>
        <w:tc>
          <w:tcPr>
            <w:tcW w:w="3660" w:type="dxa"/>
            <w:vAlign w:val="bottom"/>
            <w:shd w:val="clear" w:color="auto" w:fill="E6ECF8"/>
          </w:tcPr>
          <w:p>
            <w:pPr>
              <w:ind w:left="740"/>
              <w:spacing w:after="0"/>
              <w:rPr>
                <w:sz w:val="20"/>
                <w:szCs w:val="20"/>
                <w:color w:val="auto"/>
              </w:rPr>
            </w:pPr>
            <w:r>
              <w:rPr>
                <w:rFonts w:ascii="Arial" w:cs="Arial" w:eastAsia="Arial" w:hAnsi="Arial"/>
                <w:sz w:val="16"/>
                <w:szCs w:val="16"/>
                <w:i w:val="1"/>
                <w:iCs w:val="1"/>
                <w:color w:val="auto"/>
              </w:rPr>
              <w:t>Senior Vice President, Finance</w:t>
            </w:r>
          </w:p>
        </w:tc>
        <w:tc>
          <w:tcPr>
            <w:tcW w:w="880" w:type="dxa"/>
            <w:vAlign w:val="bottom"/>
            <w:shd w:val="clear" w:color="auto" w:fill="E6ECF8"/>
          </w:tcPr>
          <w:p>
            <w:pPr>
              <w:jc w:val="right"/>
              <w:ind w:right="59"/>
              <w:spacing w:after="0"/>
              <w:rPr>
                <w:sz w:val="20"/>
                <w:szCs w:val="20"/>
                <w:color w:val="auto"/>
              </w:rPr>
            </w:pPr>
            <w:r>
              <w:rPr>
                <w:rFonts w:ascii="Arial" w:cs="Arial" w:eastAsia="Arial" w:hAnsi="Arial"/>
                <w:sz w:val="16"/>
                <w:szCs w:val="16"/>
                <w:color w:val="auto"/>
              </w:rPr>
              <w:t>2014</w:t>
            </w:r>
          </w:p>
        </w:tc>
        <w:tc>
          <w:tcPr>
            <w:tcW w:w="1080" w:type="dxa"/>
            <w:vAlign w:val="bottom"/>
            <w:shd w:val="clear" w:color="auto" w:fill="E6ECF8"/>
          </w:tcPr>
          <w:p>
            <w:pPr>
              <w:jc w:val="right"/>
              <w:ind w:right="140"/>
              <w:spacing w:after="0"/>
              <w:rPr>
                <w:sz w:val="20"/>
                <w:szCs w:val="20"/>
                <w:color w:val="auto"/>
              </w:rPr>
            </w:pPr>
            <w:r>
              <w:rPr>
                <w:rFonts w:ascii="Arial" w:cs="Arial" w:eastAsia="Arial" w:hAnsi="Arial"/>
                <w:sz w:val="16"/>
                <w:szCs w:val="16"/>
                <w:color w:val="auto"/>
              </w:rPr>
              <w:t>500,000</w:t>
            </w:r>
          </w:p>
        </w:tc>
        <w:tc>
          <w:tcPr>
            <w:tcW w:w="1060" w:type="dxa"/>
            <w:vAlign w:val="bottom"/>
            <w:shd w:val="clear" w:color="auto" w:fill="E6ECF8"/>
          </w:tcPr>
          <w:p>
            <w:pPr>
              <w:jc w:val="right"/>
              <w:ind w:right="41"/>
              <w:spacing w:after="0" w:line="190" w:lineRule="exact"/>
              <w:rPr>
                <w:sz w:val="20"/>
                <w:szCs w:val="20"/>
                <w:color w:val="auto"/>
              </w:rPr>
            </w:pPr>
            <w:r>
              <w:rPr>
                <w:rFonts w:ascii="Arial" w:cs="Arial" w:eastAsia="Arial" w:hAnsi="Arial"/>
                <w:sz w:val="14"/>
                <w:szCs w:val="14"/>
                <w:color w:val="auto"/>
              </w:rPr>
              <w:t>455,000</w:t>
            </w:r>
            <w:r>
              <w:rPr>
                <w:rFonts w:ascii="Arial" w:cs="Arial" w:eastAsia="Arial" w:hAnsi="Arial"/>
                <w:sz w:val="22"/>
                <w:szCs w:val="22"/>
                <w:color w:val="5668B0"/>
                <w:vertAlign w:val="superscript"/>
              </w:rPr>
              <w:t>10</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right"/>
              <w:ind w:right="51"/>
              <w:spacing w:after="0" w:line="190" w:lineRule="exact"/>
              <w:rPr>
                <w:sz w:val="20"/>
                <w:szCs w:val="20"/>
                <w:color w:val="auto"/>
              </w:rPr>
            </w:pPr>
            <w:r>
              <w:rPr>
                <w:rFonts w:ascii="Arial" w:cs="Arial" w:eastAsia="Arial" w:hAnsi="Arial"/>
                <w:sz w:val="14"/>
                <w:szCs w:val="14"/>
                <w:color w:val="auto"/>
              </w:rPr>
              <w:t>6,403,138</w:t>
            </w:r>
            <w:r>
              <w:rPr>
                <w:rFonts w:ascii="Arial" w:cs="Arial" w:eastAsia="Arial" w:hAnsi="Arial"/>
                <w:sz w:val="22"/>
                <w:szCs w:val="22"/>
                <w:color w:val="5668B0"/>
                <w:vertAlign w:val="superscript"/>
              </w:rPr>
              <w:t>6</w:t>
            </w:r>
          </w:p>
        </w:tc>
        <w:tc>
          <w:tcPr>
            <w:tcW w:w="1480" w:type="dxa"/>
            <w:vAlign w:val="bottom"/>
            <w:shd w:val="clear" w:color="auto" w:fill="E6ECF8"/>
          </w:tcPr>
          <w:p>
            <w:pPr>
              <w:ind w:left="720"/>
              <w:spacing w:after="0"/>
              <w:rPr>
                <w:sz w:val="20"/>
                <w:szCs w:val="20"/>
                <w:color w:val="auto"/>
              </w:rPr>
            </w:pPr>
            <w:r>
              <w:rPr>
                <w:rFonts w:ascii="Arial" w:cs="Arial" w:eastAsia="Arial" w:hAnsi="Arial"/>
                <w:sz w:val="16"/>
                <w:szCs w:val="16"/>
                <w:color w:val="auto"/>
              </w:rPr>
              <w:t>14,818</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7,372,956</w:t>
            </w:r>
          </w:p>
        </w:tc>
      </w:tr>
      <w:tr>
        <w:trPr>
          <w:trHeight w:val="190"/>
        </w:trPr>
        <w:tc>
          <w:tcPr>
            <w:tcW w:w="3660" w:type="dxa"/>
            <w:vAlign w:val="bottom"/>
            <w:tcBorders>
              <w:bottom w:val="single" w:sz="8" w:color="5668B0"/>
            </w:tcBorders>
            <w:shd w:val="clear" w:color="auto" w:fill="E6ECF8"/>
          </w:tcPr>
          <w:p>
            <w:pPr>
              <w:ind w:left="740"/>
              <w:spacing w:after="0"/>
              <w:rPr>
                <w:sz w:val="20"/>
                <w:szCs w:val="20"/>
                <w:color w:val="auto"/>
              </w:rPr>
            </w:pPr>
            <w:r>
              <w:rPr>
                <w:rFonts w:ascii="Arial" w:cs="Arial" w:eastAsia="Arial" w:hAnsi="Arial"/>
                <w:sz w:val="16"/>
                <w:szCs w:val="16"/>
                <w:i w:val="1"/>
                <w:iCs w:val="1"/>
                <w:color w:val="auto"/>
              </w:rPr>
              <w:t>and Chief Financial Officer*</w:t>
            </w:r>
          </w:p>
        </w:tc>
        <w:tc>
          <w:tcPr>
            <w:tcW w:w="880" w:type="dxa"/>
            <w:vAlign w:val="bottom"/>
            <w:tcBorders>
              <w:bottom w:val="single" w:sz="8" w:color="5668B0"/>
            </w:tcBorders>
            <w:shd w:val="clear" w:color="auto" w:fill="E6ECF8"/>
          </w:tcPr>
          <w:p>
            <w:pPr>
              <w:jc w:val="right"/>
              <w:ind w:right="59"/>
              <w:spacing w:after="0"/>
              <w:rPr>
                <w:sz w:val="20"/>
                <w:szCs w:val="20"/>
                <w:color w:val="auto"/>
              </w:rPr>
            </w:pPr>
            <w:r>
              <w:rPr>
                <w:rFonts w:ascii="Arial" w:cs="Arial" w:eastAsia="Arial" w:hAnsi="Arial"/>
                <w:sz w:val="16"/>
                <w:szCs w:val="16"/>
                <w:color w:val="auto"/>
              </w:rPr>
              <w:t>2013</w:t>
            </w:r>
          </w:p>
        </w:tc>
        <w:tc>
          <w:tcPr>
            <w:tcW w:w="1080" w:type="dxa"/>
            <w:vAlign w:val="bottom"/>
            <w:tcBorders>
              <w:bottom w:val="single" w:sz="8" w:color="5668B0"/>
            </w:tcBorders>
            <w:shd w:val="clear" w:color="auto" w:fill="E6ECF8"/>
          </w:tcPr>
          <w:p>
            <w:pPr>
              <w:jc w:val="right"/>
              <w:spacing w:after="0" w:line="190" w:lineRule="exact"/>
              <w:rPr>
                <w:sz w:val="20"/>
                <w:szCs w:val="20"/>
                <w:color w:val="auto"/>
              </w:rPr>
            </w:pPr>
            <w:r>
              <w:rPr>
                <w:rFonts w:ascii="Arial" w:cs="Arial" w:eastAsia="Arial" w:hAnsi="Arial"/>
                <w:sz w:val="14"/>
                <w:szCs w:val="14"/>
                <w:color w:val="auto"/>
              </w:rPr>
              <w:t>144,231</w:t>
            </w:r>
            <w:r>
              <w:rPr>
                <w:rFonts w:ascii="Arial" w:cs="Arial" w:eastAsia="Arial" w:hAnsi="Arial"/>
                <w:sz w:val="22"/>
                <w:szCs w:val="22"/>
                <w:color w:val="5668B0"/>
                <w:vertAlign w:val="superscript"/>
              </w:rPr>
              <w:t>11</w:t>
            </w:r>
          </w:p>
        </w:tc>
        <w:tc>
          <w:tcPr>
            <w:tcW w:w="1060" w:type="dxa"/>
            <w:vAlign w:val="bottom"/>
            <w:tcBorders>
              <w:bottom w:val="single" w:sz="8" w:color="5668B0"/>
            </w:tcBorders>
            <w:shd w:val="clear" w:color="auto" w:fill="E6ECF8"/>
          </w:tcPr>
          <w:p>
            <w:pPr>
              <w:jc w:val="right"/>
              <w:ind w:right="41"/>
              <w:spacing w:after="0" w:line="190" w:lineRule="exact"/>
              <w:rPr>
                <w:sz w:val="20"/>
                <w:szCs w:val="20"/>
                <w:color w:val="auto"/>
              </w:rPr>
            </w:pPr>
            <w:r>
              <w:rPr>
                <w:rFonts w:ascii="Arial" w:cs="Arial" w:eastAsia="Arial" w:hAnsi="Arial"/>
                <w:sz w:val="14"/>
                <w:szCs w:val="14"/>
                <w:color w:val="auto"/>
              </w:rPr>
              <w:t>50,000</w:t>
            </w:r>
            <w:r>
              <w:rPr>
                <w:rFonts w:ascii="Arial" w:cs="Arial" w:eastAsia="Arial" w:hAnsi="Arial"/>
                <w:sz w:val="22"/>
                <w:szCs w:val="22"/>
                <w:color w:val="5668B0"/>
                <w:vertAlign w:val="superscript"/>
              </w:rPr>
              <w:t>12</w:t>
            </w:r>
          </w:p>
        </w:tc>
        <w:tc>
          <w:tcPr>
            <w:tcW w:w="1100" w:type="dxa"/>
            <w:vAlign w:val="bottom"/>
            <w:tcBorders>
              <w:bottom w:val="single" w:sz="8" w:color="5668B0"/>
            </w:tcBorders>
            <w:shd w:val="clear" w:color="auto" w:fill="E6ECF8"/>
          </w:tcPr>
          <w:p>
            <w:pPr>
              <w:jc w:val="right"/>
              <w:ind w:right="1"/>
              <w:spacing w:after="0" w:line="190" w:lineRule="exact"/>
              <w:rPr>
                <w:sz w:val="20"/>
                <w:szCs w:val="20"/>
                <w:color w:val="auto"/>
              </w:rPr>
            </w:pPr>
            <w:r>
              <w:rPr>
                <w:rFonts w:ascii="Arial" w:cs="Arial" w:eastAsia="Arial" w:hAnsi="Arial"/>
                <w:sz w:val="14"/>
                <w:szCs w:val="14"/>
                <w:color w:val="auto"/>
              </w:rPr>
              <w:t>1,363,500</w:t>
            </w:r>
            <w:r>
              <w:rPr>
                <w:rFonts w:ascii="Arial" w:cs="Arial" w:eastAsia="Arial" w:hAnsi="Arial"/>
                <w:sz w:val="22"/>
                <w:szCs w:val="22"/>
                <w:color w:val="5668B0"/>
                <w:vertAlign w:val="superscript"/>
              </w:rPr>
              <w:t>13</w:t>
            </w:r>
          </w:p>
        </w:tc>
        <w:tc>
          <w:tcPr>
            <w:tcW w:w="1080" w:type="dxa"/>
            <w:vAlign w:val="bottom"/>
            <w:tcBorders>
              <w:bottom w:val="single" w:sz="8" w:color="5668B0"/>
            </w:tcBorders>
            <w:shd w:val="clear" w:color="auto" w:fill="E6ECF8"/>
          </w:tcPr>
          <w:p>
            <w:pPr>
              <w:jc w:val="right"/>
              <w:ind w:right="51"/>
              <w:spacing w:after="0" w:line="190" w:lineRule="exact"/>
              <w:rPr>
                <w:sz w:val="20"/>
                <w:szCs w:val="20"/>
                <w:color w:val="auto"/>
              </w:rPr>
            </w:pPr>
            <w:r>
              <w:rPr>
                <w:rFonts w:ascii="Arial" w:cs="Arial" w:eastAsia="Arial" w:hAnsi="Arial"/>
                <w:sz w:val="14"/>
                <w:szCs w:val="14"/>
                <w:color w:val="auto"/>
              </w:rPr>
              <w:t>11,054,274</w:t>
            </w:r>
            <w:r>
              <w:rPr>
                <w:rFonts w:ascii="Arial" w:cs="Arial" w:eastAsia="Arial" w:hAnsi="Arial"/>
                <w:sz w:val="22"/>
                <w:szCs w:val="22"/>
                <w:color w:val="5668B0"/>
                <w:vertAlign w:val="superscript"/>
              </w:rPr>
              <w:t>7</w:t>
            </w:r>
          </w:p>
        </w:tc>
        <w:tc>
          <w:tcPr>
            <w:tcW w:w="1480" w:type="dxa"/>
            <w:vAlign w:val="bottom"/>
            <w:tcBorders>
              <w:bottom w:val="single" w:sz="8" w:color="5668B0"/>
            </w:tcBorders>
            <w:shd w:val="clear" w:color="auto" w:fill="E6ECF8"/>
          </w:tcPr>
          <w:p>
            <w:pPr>
              <w:jc w:val="right"/>
              <w:ind w:right="184"/>
              <w:spacing w:after="0"/>
              <w:rPr>
                <w:sz w:val="20"/>
                <w:szCs w:val="20"/>
                <w:color w:val="auto"/>
              </w:rPr>
            </w:pPr>
            <w:r>
              <w:rPr>
                <w:rFonts w:ascii="Arial" w:cs="Arial" w:eastAsia="Arial" w:hAnsi="Arial"/>
                <w:sz w:val="16"/>
                <w:szCs w:val="16"/>
                <w:color w:val="auto"/>
              </w:rPr>
              <w:t>1,130</w:t>
            </w:r>
          </w:p>
        </w:tc>
        <w:tc>
          <w:tcPr>
            <w:tcW w:w="94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12,613,135</w:t>
            </w:r>
          </w:p>
        </w:tc>
      </w:tr>
      <w:tr>
        <w:trPr>
          <w:trHeight w:val="182"/>
        </w:trPr>
        <w:tc>
          <w:tcPr>
            <w:tcW w:w="3660" w:type="dxa"/>
            <w:vAlign w:val="bottom"/>
            <w:shd w:val="clear" w:color="auto" w:fill="D0DBEF"/>
          </w:tcPr>
          <w:p>
            <w:pPr>
              <w:ind w:left="560"/>
              <w:spacing w:after="0" w:line="182" w:lineRule="exact"/>
              <w:rPr>
                <w:sz w:val="20"/>
                <w:szCs w:val="20"/>
                <w:color w:val="auto"/>
              </w:rPr>
            </w:pPr>
            <w:r>
              <w:rPr>
                <w:rFonts w:ascii="Arial" w:cs="Arial" w:eastAsia="Arial" w:hAnsi="Arial"/>
                <w:sz w:val="16"/>
                <w:szCs w:val="16"/>
                <w:color w:val="auto"/>
              </w:rPr>
              <w:t>Neil Stahl, Ph.D.</w:t>
            </w:r>
          </w:p>
        </w:tc>
        <w:tc>
          <w:tcPr>
            <w:tcW w:w="880" w:type="dxa"/>
            <w:vAlign w:val="bottom"/>
            <w:shd w:val="clear" w:color="auto" w:fill="D0DBEF"/>
          </w:tcPr>
          <w:p>
            <w:pPr>
              <w:jc w:val="right"/>
              <w:ind w:right="59"/>
              <w:spacing w:after="0" w:line="182" w:lineRule="exact"/>
              <w:rPr>
                <w:sz w:val="20"/>
                <w:szCs w:val="20"/>
                <w:color w:val="auto"/>
              </w:rPr>
            </w:pPr>
            <w:r>
              <w:rPr>
                <w:rFonts w:ascii="Arial" w:cs="Arial" w:eastAsia="Arial" w:hAnsi="Arial"/>
                <w:sz w:val="16"/>
                <w:szCs w:val="16"/>
                <w:color w:val="auto"/>
              </w:rPr>
              <w:t>2015</w:t>
            </w:r>
          </w:p>
        </w:tc>
        <w:tc>
          <w:tcPr>
            <w:tcW w:w="1080" w:type="dxa"/>
            <w:vAlign w:val="bottom"/>
            <w:shd w:val="clear" w:color="auto" w:fill="D0DBEF"/>
          </w:tcPr>
          <w:p>
            <w:pPr>
              <w:jc w:val="right"/>
              <w:ind w:right="140"/>
              <w:spacing w:after="0" w:line="182" w:lineRule="exact"/>
              <w:rPr>
                <w:sz w:val="20"/>
                <w:szCs w:val="20"/>
                <w:color w:val="auto"/>
              </w:rPr>
            </w:pPr>
            <w:r>
              <w:rPr>
                <w:rFonts w:ascii="Arial" w:cs="Arial" w:eastAsia="Arial" w:hAnsi="Arial"/>
                <w:sz w:val="16"/>
                <w:szCs w:val="16"/>
                <w:color w:val="auto"/>
              </w:rPr>
              <w:t>550,000</w:t>
            </w:r>
          </w:p>
        </w:tc>
        <w:tc>
          <w:tcPr>
            <w:tcW w:w="1060" w:type="dxa"/>
            <w:vAlign w:val="bottom"/>
            <w:shd w:val="clear" w:color="auto" w:fill="D0DBEF"/>
          </w:tcPr>
          <w:p>
            <w:pPr>
              <w:jc w:val="right"/>
              <w:ind w:right="181"/>
              <w:spacing w:after="0" w:line="182" w:lineRule="exact"/>
              <w:rPr>
                <w:sz w:val="20"/>
                <w:szCs w:val="20"/>
                <w:color w:val="auto"/>
              </w:rPr>
            </w:pPr>
            <w:r>
              <w:rPr>
                <w:rFonts w:ascii="Arial" w:cs="Arial" w:eastAsia="Arial" w:hAnsi="Arial"/>
                <w:sz w:val="16"/>
                <w:szCs w:val="16"/>
                <w:color w:val="auto"/>
              </w:rPr>
              <w:t>594,000</w:t>
            </w:r>
          </w:p>
        </w:tc>
        <w:tc>
          <w:tcPr>
            <w:tcW w:w="1100" w:type="dxa"/>
            <w:vAlign w:val="bottom"/>
            <w:shd w:val="clear" w:color="auto" w:fill="D0DBEF"/>
          </w:tcPr>
          <w:p>
            <w:pPr>
              <w:jc w:val="right"/>
              <w:ind w:right="161"/>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D0DBEF"/>
          </w:tcPr>
          <w:p>
            <w:pPr>
              <w:jc w:val="right"/>
              <w:ind w:right="51"/>
              <w:spacing w:after="0" w:line="183" w:lineRule="exact"/>
              <w:rPr>
                <w:sz w:val="20"/>
                <w:szCs w:val="20"/>
                <w:color w:val="auto"/>
              </w:rPr>
            </w:pPr>
            <w:r>
              <w:rPr>
                <w:rFonts w:ascii="Arial" w:cs="Arial" w:eastAsia="Arial" w:hAnsi="Arial"/>
                <w:sz w:val="13"/>
                <w:szCs w:val="13"/>
                <w:color w:val="auto"/>
              </w:rPr>
              <w:t>17,209,995</w:t>
            </w:r>
            <w:r>
              <w:rPr>
                <w:rFonts w:ascii="Arial" w:cs="Arial" w:eastAsia="Arial" w:hAnsi="Arial"/>
                <w:sz w:val="21"/>
                <w:szCs w:val="21"/>
                <w:color w:val="5668B0"/>
                <w:vertAlign w:val="superscript"/>
              </w:rPr>
              <w:t>4</w:t>
            </w:r>
          </w:p>
        </w:tc>
        <w:tc>
          <w:tcPr>
            <w:tcW w:w="1480" w:type="dxa"/>
            <w:vAlign w:val="bottom"/>
            <w:shd w:val="clear" w:color="auto" w:fill="D0DBEF"/>
          </w:tcPr>
          <w:p>
            <w:pPr>
              <w:ind w:left="720"/>
              <w:spacing w:after="0" w:line="183" w:lineRule="exact"/>
              <w:rPr>
                <w:sz w:val="20"/>
                <w:szCs w:val="20"/>
                <w:color w:val="auto"/>
              </w:rPr>
            </w:pPr>
            <w:r>
              <w:rPr>
                <w:rFonts w:ascii="Arial" w:cs="Arial" w:eastAsia="Arial" w:hAnsi="Arial"/>
                <w:sz w:val="13"/>
                <w:szCs w:val="13"/>
                <w:color w:val="auto"/>
              </w:rPr>
              <w:t>20,515</w:t>
            </w:r>
            <w:r>
              <w:rPr>
                <w:rFonts w:ascii="Arial" w:cs="Arial" w:eastAsia="Arial" w:hAnsi="Arial"/>
                <w:sz w:val="21"/>
                <w:szCs w:val="21"/>
                <w:color w:val="5668B0"/>
                <w:vertAlign w:val="superscript"/>
              </w:rPr>
              <w:t>14</w:t>
            </w:r>
          </w:p>
        </w:tc>
        <w:tc>
          <w:tcPr>
            <w:tcW w:w="94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18,374,510</w:t>
            </w:r>
          </w:p>
        </w:tc>
      </w:tr>
      <w:tr>
        <w:trPr>
          <w:trHeight w:val="190"/>
        </w:trPr>
        <w:tc>
          <w:tcPr>
            <w:tcW w:w="3660" w:type="dxa"/>
            <w:vAlign w:val="bottom"/>
            <w:shd w:val="clear" w:color="auto" w:fill="D0DBEF"/>
          </w:tcPr>
          <w:p>
            <w:pPr>
              <w:ind w:left="740"/>
              <w:spacing w:after="0"/>
              <w:rPr>
                <w:sz w:val="20"/>
                <w:szCs w:val="20"/>
                <w:color w:val="auto"/>
              </w:rPr>
            </w:pPr>
            <w:r>
              <w:rPr>
                <w:rFonts w:ascii="Arial" w:cs="Arial" w:eastAsia="Arial" w:hAnsi="Arial"/>
                <w:sz w:val="16"/>
                <w:szCs w:val="16"/>
                <w:i w:val="1"/>
                <w:iCs w:val="1"/>
                <w:color w:val="auto"/>
              </w:rPr>
              <w:t>Executive Vice President,</w:t>
            </w:r>
          </w:p>
        </w:tc>
        <w:tc>
          <w:tcPr>
            <w:tcW w:w="880" w:type="dxa"/>
            <w:vAlign w:val="bottom"/>
            <w:shd w:val="clear" w:color="auto" w:fill="D0DBEF"/>
          </w:tcPr>
          <w:p>
            <w:pPr>
              <w:jc w:val="right"/>
              <w:ind w:right="59"/>
              <w:spacing w:after="0"/>
              <w:rPr>
                <w:sz w:val="20"/>
                <w:szCs w:val="20"/>
                <w:color w:val="auto"/>
              </w:rPr>
            </w:pPr>
            <w:r>
              <w:rPr>
                <w:rFonts w:ascii="Arial" w:cs="Arial" w:eastAsia="Arial" w:hAnsi="Arial"/>
                <w:sz w:val="16"/>
                <w:szCs w:val="16"/>
                <w:color w:val="auto"/>
              </w:rPr>
              <w:t>2014</w:t>
            </w:r>
          </w:p>
        </w:tc>
        <w:tc>
          <w:tcPr>
            <w:tcW w:w="1080" w:type="dxa"/>
            <w:vAlign w:val="bottom"/>
            <w:shd w:val="clear" w:color="auto" w:fill="D0DBEF"/>
          </w:tcPr>
          <w:p>
            <w:pPr>
              <w:jc w:val="right"/>
              <w:ind w:right="140"/>
              <w:spacing w:after="0"/>
              <w:rPr>
                <w:sz w:val="20"/>
                <w:szCs w:val="20"/>
                <w:color w:val="auto"/>
              </w:rPr>
            </w:pPr>
            <w:r>
              <w:rPr>
                <w:rFonts w:ascii="Arial" w:cs="Arial" w:eastAsia="Arial" w:hAnsi="Arial"/>
                <w:sz w:val="16"/>
                <w:szCs w:val="16"/>
                <w:color w:val="auto"/>
              </w:rPr>
              <w:t>493,500</w:t>
            </w:r>
          </w:p>
        </w:tc>
        <w:tc>
          <w:tcPr>
            <w:tcW w:w="1060" w:type="dxa"/>
            <w:vAlign w:val="bottom"/>
            <w:shd w:val="clear" w:color="auto" w:fill="D0DBEF"/>
          </w:tcPr>
          <w:p>
            <w:pPr>
              <w:jc w:val="right"/>
              <w:ind w:right="181"/>
              <w:spacing w:after="0"/>
              <w:rPr>
                <w:sz w:val="20"/>
                <w:szCs w:val="20"/>
                <w:color w:val="auto"/>
              </w:rPr>
            </w:pPr>
            <w:r>
              <w:rPr>
                <w:rFonts w:ascii="Arial" w:cs="Arial" w:eastAsia="Arial" w:hAnsi="Arial"/>
                <w:sz w:val="16"/>
                <w:szCs w:val="16"/>
                <w:color w:val="auto"/>
              </w:rPr>
              <w:t>532,980</w:t>
            </w:r>
          </w:p>
        </w:tc>
        <w:tc>
          <w:tcPr>
            <w:tcW w:w="1100" w:type="dxa"/>
            <w:vAlign w:val="bottom"/>
            <w:shd w:val="clear" w:color="auto" w:fill="D0DBEF"/>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D0DBEF"/>
          </w:tcPr>
          <w:p>
            <w:pPr>
              <w:jc w:val="right"/>
              <w:ind w:right="51"/>
              <w:spacing w:after="0" w:line="190" w:lineRule="exact"/>
              <w:rPr>
                <w:sz w:val="20"/>
                <w:szCs w:val="20"/>
                <w:color w:val="auto"/>
              </w:rPr>
            </w:pPr>
            <w:r>
              <w:rPr>
                <w:rFonts w:ascii="Arial" w:cs="Arial" w:eastAsia="Arial" w:hAnsi="Arial"/>
                <w:sz w:val="14"/>
                <w:szCs w:val="14"/>
                <w:color w:val="auto"/>
              </w:rPr>
              <w:t>15,207,420</w:t>
            </w:r>
            <w:r>
              <w:rPr>
                <w:rFonts w:ascii="Arial" w:cs="Arial" w:eastAsia="Arial" w:hAnsi="Arial"/>
                <w:sz w:val="22"/>
                <w:szCs w:val="22"/>
                <w:color w:val="5668B0"/>
                <w:vertAlign w:val="superscript"/>
              </w:rPr>
              <w:t>6</w:t>
            </w:r>
          </w:p>
        </w:tc>
        <w:tc>
          <w:tcPr>
            <w:tcW w:w="1480" w:type="dxa"/>
            <w:vAlign w:val="bottom"/>
            <w:shd w:val="clear" w:color="auto" w:fill="D0DBEF"/>
          </w:tcPr>
          <w:p>
            <w:pPr>
              <w:ind w:left="720"/>
              <w:spacing w:after="0"/>
              <w:rPr>
                <w:sz w:val="20"/>
                <w:szCs w:val="20"/>
                <w:color w:val="auto"/>
              </w:rPr>
            </w:pPr>
            <w:r>
              <w:rPr>
                <w:rFonts w:ascii="Arial" w:cs="Arial" w:eastAsia="Arial" w:hAnsi="Arial"/>
                <w:sz w:val="16"/>
                <w:szCs w:val="16"/>
                <w:color w:val="auto"/>
              </w:rPr>
              <w:t>20,215</w:t>
            </w: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16,254,115</w:t>
            </w:r>
          </w:p>
        </w:tc>
      </w:tr>
      <w:tr>
        <w:trPr>
          <w:trHeight w:val="190"/>
        </w:trPr>
        <w:tc>
          <w:tcPr>
            <w:tcW w:w="3660" w:type="dxa"/>
            <w:vAlign w:val="bottom"/>
            <w:tcBorders>
              <w:bottom w:val="single" w:sz="8" w:color="5668B0"/>
            </w:tcBorders>
            <w:shd w:val="clear" w:color="auto" w:fill="D0DBEF"/>
          </w:tcPr>
          <w:p>
            <w:pPr>
              <w:ind w:left="740"/>
              <w:spacing w:after="0"/>
              <w:rPr>
                <w:sz w:val="20"/>
                <w:szCs w:val="20"/>
                <w:color w:val="auto"/>
              </w:rPr>
            </w:pPr>
            <w:r>
              <w:rPr>
                <w:rFonts w:ascii="Arial" w:cs="Arial" w:eastAsia="Arial" w:hAnsi="Arial"/>
                <w:sz w:val="16"/>
                <w:szCs w:val="16"/>
                <w:i w:val="1"/>
                <w:iCs w:val="1"/>
                <w:color w:val="auto"/>
              </w:rPr>
              <w:t>Research &amp; Development</w:t>
            </w:r>
          </w:p>
        </w:tc>
        <w:tc>
          <w:tcPr>
            <w:tcW w:w="880" w:type="dxa"/>
            <w:vAlign w:val="bottom"/>
            <w:tcBorders>
              <w:bottom w:val="single" w:sz="8" w:color="5668B0"/>
            </w:tcBorders>
            <w:shd w:val="clear" w:color="auto" w:fill="D0DBEF"/>
          </w:tcPr>
          <w:p>
            <w:pPr>
              <w:jc w:val="right"/>
              <w:ind w:right="59"/>
              <w:spacing w:after="0"/>
              <w:rPr>
                <w:sz w:val="20"/>
                <w:szCs w:val="20"/>
                <w:color w:val="auto"/>
              </w:rPr>
            </w:pPr>
            <w:r>
              <w:rPr>
                <w:rFonts w:ascii="Arial" w:cs="Arial" w:eastAsia="Arial" w:hAnsi="Arial"/>
                <w:sz w:val="16"/>
                <w:szCs w:val="16"/>
                <w:color w:val="auto"/>
              </w:rPr>
              <w:t>2013</w:t>
            </w:r>
          </w:p>
        </w:tc>
        <w:tc>
          <w:tcPr>
            <w:tcW w:w="1080" w:type="dxa"/>
            <w:vAlign w:val="bottom"/>
            <w:tcBorders>
              <w:bottom w:val="single" w:sz="8" w:color="5668B0"/>
            </w:tcBorders>
            <w:shd w:val="clear" w:color="auto" w:fill="D0DBEF"/>
          </w:tcPr>
          <w:p>
            <w:pPr>
              <w:jc w:val="right"/>
              <w:ind w:right="140"/>
              <w:spacing w:after="0"/>
              <w:rPr>
                <w:sz w:val="20"/>
                <w:szCs w:val="20"/>
                <w:color w:val="auto"/>
              </w:rPr>
            </w:pPr>
            <w:r>
              <w:rPr>
                <w:rFonts w:ascii="Arial" w:cs="Arial" w:eastAsia="Arial" w:hAnsi="Arial"/>
                <w:sz w:val="16"/>
                <w:szCs w:val="16"/>
                <w:color w:val="auto"/>
              </w:rPr>
              <w:t>476,800</w:t>
            </w:r>
          </w:p>
        </w:tc>
        <w:tc>
          <w:tcPr>
            <w:tcW w:w="1060" w:type="dxa"/>
            <w:vAlign w:val="bottom"/>
            <w:tcBorders>
              <w:bottom w:val="single" w:sz="8" w:color="5668B0"/>
            </w:tcBorders>
            <w:shd w:val="clear" w:color="auto" w:fill="D0DBEF"/>
          </w:tcPr>
          <w:p>
            <w:pPr>
              <w:jc w:val="right"/>
              <w:ind w:right="181"/>
              <w:spacing w:after="0"/>
              <w:rPr>
                <w:sz w:val="20"/>
                <w:szCs w:val="20"/>
                <w:color w:val="auto"/>
              </w:rPr>
            </w:pPr>
            <w:r>
              <w:rPr>
                <w:rFonts w:ascii="Arial" w:cs="Arial" w:eastAsia="Arial" w:hAnsi="Arial"/>
                <w:sz w:val="16"/>
                <w:szCs w:val="16"/>
                <w:color w:val="auto"/>
              </w:rPr>
              <w:t>386,208</w:t>
            </w:r>
          </w:p>
        </w:tc>
        <w:tc>
          <w:tcPr>
            <w:tcW w:w="1100" w:type="dxa"/>
            <w:vAlign w:val="bottom"/>
            <w:tcBorders>
              <w:bottom w:val="single" w:sz="8" w:color="5668B0"/>
            </w:tcBorders>
            <w:shd w:val="clear" w:color="auto" w:fill="D0DBEF"/>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5668B0"/>
            </w:tcBorders>
            <w:shd w:val="clear" w:color="auto" w:fill="D0DBEF"/>
          </w:tcPr>
          <w:p>
            <w:pPr>
              <w:jc w:val="right"/>
              <w:ind w:right="51"/>
              <w:spacing w:after="0" w:line="190" w:lineRule="exact"/>
              <w:rPr>
                <w:sz w:val="20"/>
                <w:szCs w:val="20"/>
                <w:color w:val="auto"/>
              </w:rPr>
            </w:pPr>
            <w:r>
              <w:rPr>
                <w:rFonts w:ascii="Arial" w:cs="Arial" w:eastAsia="Arial" w:hAnsi="Arial"/>
                <w:sz w:val="14"/>
                <w:szCs w:val="14"/>
                <w:color w:val="auto"/>
              </w:rPr>
              <w:t>13,474,403</w:t>
            </w:r>
            <w:r>
              <w:rPr>
                <w:rFonts w:ascii="Arial" w:cs="Arial" w:eastAsia="Arial" w:hAnsi="Arial"/>
                <w:sz w:val="22"/>
                <w:szCs w:val="22"/>
                <w:color w:val="5668B0"/>
                <w:vertAlign w:val="superscript"/>
              </w:rPr>
              <w:t>7</w:t>
            </w:r>
          </w:p>
        </w:tc>
        <w:tc>
          <w:tcPr>
            <w:tcW w:w="1480" w:type="dxa"/>
            <w:vAlign w:val="bottom"/>
            <w:tcBorders>
              <w:bottom w:val="single" w:sz="8" w:color="5668B0"/>
            </w:tcBorders>
            <w:shd w:val="clear" w:color="auto" w:fill="D0DBEF"/>
          </w:tcPr>
          <w:p>
            <w:pPr>
              <w:ind w:left="720"/>
              <w:spacing w:after="0"/>
              <w:rPr>
                <w:sz w:val="20"/>
                <w:szCs w:val="20"/>
                <w:color w:val="auto"/>
              </w:rPr>
            </w:pPr>
            <w:r>
              <w:rPr>
                <w:rFonts w:ascii="Arial" w:cs="Arial" w:eastAsia="Arial" w:hAnsi="Arial"/>
                <w:sz w:val="16"/>
                <w:szCs w:val="16"/>
                <w:color w:val="auto"/>
              </w:rPr>
              <w:t>17,235</w:t>
            </w:r>
          </w:p>
        </w:tc>
        <w:tc>
          <w:tcPr>
            <w:tcW w:w="94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6"/>
                <w:szCs w:val="16"/>
                <w:color w:val="auto"/>
              </w:rPr>
              <w:t>14,354,646</w:t>
            </w:r>
          </w:p>
        </w:tc>
      </w:tr>
      <w:tr>
        <w:trPr>
          <w:trHeight w:val="182"/>
        </w:trPr>
        <w:tc>
          <w:tcPr>
            <w:tcW w:w="3660" w:type="dxa"/>
            <w:vAlign w:val="bottom"/>
            <w:shd w:val="clear" w:color="auto" w:fill="E6ECF8"/>
          </w:tcPr>
          <w:p>
            <w:pPr>
              <w:ind w:left="560"/>
              <w:spacing w:after="0" w:line="182" w:lineRule="exact"/>
              <w:rPr>
                <w:sz w:val="20"/>
                <w:szCs w:val="20"/>
                <w:color w:val="auto"/>
              </w:rPr>
            </w:pPr>
            <w:r>
              <w:rPr>
                <w:rFonts w:ascii="Arial" w:cs="Arial" w:eastAsia="Arial" w:hAnsi="Arial"/>
                <w:sz w:val="16"/>
                <w:szCs w:val="16"/>
                <w:color w:val="auto"/>
              </w:rPr>
              <w:t>Robert J. Terifay</w:t>
            </w:r>
          </w:p>
        </w:tc>
        <w:tc>
          <w:tcPr>
            <w:tcW w:w="880" w:type="dxa"/>
            <w:vAlign w:val="bottom"/>
            <w:shd w:val="clear" w:color="auto" w:fill="E6ECF8"/>
          </w:tcPr>
          <w:p>
            <w:pPr>
              <w:jc w:val="right"/>
              <w:ind w:right="59"/>
              <w:spacing w:after="0" w:line="182" w:lineRule="exact"/>
              <w:rPr>
                <w:sz w:val="20"/>
                <w:szCs w:val="20"/>
                <w:color w:val="auto"/>
              </w:rPr>
            </w:pPr>
            <w:r>
              <w:rPr>
                <w:rFonts w:ascii="Arial" w:cs="Arial" w:eastAsia="Arial" w:hAnsi="Arial"/>
                <w:sz w:val="16"/>
                <w:szCs w:val="16"/>
                <w:color w:val="auto"/>
              </w:rPr>
              <w:t>2015</w:t>
            </w:r>
          </w:p>
        </w:tc>
        <w:tc>
          <w:tcPr>
            <w:tcW w:w="1080" w:type="dxa"/>
            <w:vAlign w:val="bottom"/>
            <w:shd w:val="clear" w:color="auto" w:fill="E6ECF8"/>
          </w:tcPr>
          <w:p>
            <w:pPr>
              <w:jc w:val="right"/>
              <w:ind w:right="140"/>
              <w:spacing w:after="0" w:line="182" w:lineRule="exact"/>
              <w:rPr>
                <w:sz w:val="20"/>
                <w:szCs w:val="20"/>
                <w:color w:val="auto"/>
              </w:rPr>
            </w:pPr>
            <w:r>
              <w:rPr>
                <w:rFonts w:ascii="Arial" w:cs="Arial" w:eastAsia="Arial" w:hAnsi="Arial"/>
                <w:sz w:val="16"/>
                <w:szCs w:val="16"/>
                <w:color w:val="auto"/>
              </w:rPr>
              <w:t>532,100</w:t>
            </w:r>
          </w:p>
        </w:tc>
        <w:tc>
          <w:tcPr>
            <w:tcW w:w="1060" w:type="dxa"/>
            <w:vAlign w:val="bottom"/>
            <w:shd w:val="clear" w:color="auto" w:fill="E6ECF8"/>
          </w:tcPr>
          <w:p>
            <w:pPr>
              <w:jc w:val="right"/>
              <w:ind w:right="181"/>
              <w:spacing w:after="0" w:line="182" w:lineRule="exact"/>
              <w:rPr>
                <w:sz w:val="20"/>
                <w:szCs w:val="20"/>
                <w:color w:val="auto"/>
              </w:rPr>
            </w:pPr>
            <w:r>
              <w:rPr>
                <w:rFonts w:ascii="Arial" w:cs="Arial" w:eastAsia="Arial" w:hAnsi="Arial"/>
                <w:sz w:val="16"/>
                <w:szCs w:val="16"/>
                <w:color w:val="auto"/>
              </w:rPr>
              <w:t>574,668</w:t>
            </w:r>
          </w:p>
        </w:tc>
        <w:tc>
          <w:tcPr>
            <w:tcW w:w="1100" w:type="dxa"/>
            <w:vAlign w:val="bottom"/>
            <w:shd w:val="clear" w:color="auto" w:fill="E6ECF8"/>
          </w:tcPr>
          <w:p>
            <w:pPr>
              <w:jc w:val="right"/>
              <w:ind w:right="161"/>
              <w:spacing w:after="0" w:line="182" w:lineRule="exact"/>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right"/>
              <w:ind w:right="51"/>
              <w:spacing w:after="0" w:line="183" w:lineRule="exact"/>
              <w:rPr>
                <w:sz w:val="20"/>
                <w:szCs w:val="20"/>
                <w:color w:val="auto"/>
              </w:rPr>
            </w:pPr>
            <w:r>
              <w:rPr>
                <w:rFonts w:ascii="Arial" w:cs="Arial" w:eastAsia="Arial" w:hAnsi="Arial"/>
                <w:sz w:val="13"/>
                <w:szCs w:val="13"/>
                <w:color w:val="auto"/>
              </w:rPr>
              <w:t>10,029,459</w:t>
            </w:r>
            <w:r>
              <w:rPr>
                <w:rFonts w:ascii="Arial" w:cs="Arial" w:eastAsia="Arial" w:hAnsi="Arial"/>
                <w:sz w:val="21"/>
                <w:szCs w:val="21"/>
                <w:color w:val="5668B0"/>
                <w:vertAlign w:val="superscript"/>
              </w:rPr>
              <w:t>4</w:t>
            </w:r>
          </w:p>
        </w:tc>
        <w:tc>
          <w:tcPr>
            <w:tcW w:w="1480" w:type="dxa"/>
            <w:vAlign w:val="bottom"/>
            <w:shd w:val="clear" w:color="auto" w:fill="E6ECF8"/>
          </w:tcPr>
          <w:p>
            <w:pPr>
              <w:ind w:left="720"/>
              <w:spacing w:after="0" w:line="183" w:lineRule="exact"/>
              <w:rPr>
                <w:sz w:val="20"/>
                <w:szCs w:val="20"/>
                <w:color w:val="auto"/>
              </w:rPr>
            </w:pPr>
            <w:r>
              <w:rPr>
                <w:rFonts w:ascii="Arial" w:cs="Arial" w:eastAsia="Arial" w:hAnsi="Arial"/>
                <w:sz w:val="13"/>
                <w:szCs w:val="13"/>
                <w:color w:val="auto"/>
              </w:rPr>
              <w:t>20,515</w:t>
            </w:r>
            <w:r>
              <w:rPr>
                <w:rFonts w:ascii="Arial" w:cs="Arial" w:eastAsia="Arial" w:hAnsi="Arial"/>
                <w:sz w:val="21"/>
                <w:szCs w:val="21"/>
                <w:color w:val="5668B0"/>
                <w:vertAlign w:val="superscript"/>
              </w:rPr>
              <w:t>14</w:t>
            </w:r>
          </w:p>
        </w:tc>
        <w:tc>
          <w:tcPr>
            <w:tcW w:w="94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11,156,742</w:t>
            </w:r>
          </w:p>
        </w:tc>
      </w:tr>
      <w:tr>
        <w:trPr>
          <w:trHeight w:val="190"/>
        </w:trPr>
        <w:tc>
          <w:tcPr>
            <w:tcW w:w="3660" w:type="dxa"/>
            <w:vAlign w:val="bottom"/>
            <w:shd w:val="clear" w:color="auto" w:fill="E6ECF8"/>
          </w:tcPr>
          <w:p>
            <w:pPr>
              <w:ind w:left="740"/>
              <w:spacing w:after="0"/>
              <w:rPr>
                <w:sz w:val="20"/>
                <w:szCs w:val="20"/>
                <w:color w:val="auto"/>
              </w:rPr>
            </w:pPr>
            <w:r>
              <w:rPr>
                <w:rFonts w:ascii="Arial" w:cs="Arial" w:eastAsia="Arial" w:hAnsi="Arial"/>
                <w:sz w:val="16"/>
                <w:szCs w:val="16"/>
                <w:i w:val="1"/>
                <w:iCs w:val="1"/>
                <w:color w:val="auto"/>
              </w:rPr>
              <w:t>Executive Vice President,</w:t>
            </w:r>
          </w:p>
        </w:tc>
        <w:tc>
          <w:tcPr>
            <w:tcW w:w="880" w:type="dxa"/>
            <w:vAlign w:val="bottom"/>
            <w:shd w:val="clear" w:color="auto" w:fill="E6ECF8"/>
          </w:tcPr>
          <w:p>
            <w:pPr>
              <w:jc w:val="right"/>
              <w:ind w:right="59"/>
              <w:spacing w:after="0"/>
              <w:rPr>
                <w:sz w:val="20"/>
                <w:szCs w:val="20"/>
                <w:color w:val="auto"/>
              </w:rPr>
            </w:pPr>
            <w:r>
              <w:rPr>
                <w:rFonts w:ascii="Arial" w:cs="Arial" w:eastAsia="Arial" w:hAnsi="Arial"/>
                <w:sz w:val="16"/>
                <w:szCs w:val="16"/>
                <w:color w:val="auto"/>
              </w:rPr>
              <w:t>2014</w:t>
            </w:r>
          </w:p>
        </w:tc>
        <w:tc>
          <w:tcPr>
            <w:tcW w:w="1080" w:type="dxa"/>
            <w:vAlign w:val="bottom"/>
            <w:shd w:val="clear" w:color="auto" w:fill="E6ECF8"/>
          </w:tcPr>
          <w:p>
            <w:pPr>
              <w:jc w:val="right"/>
              <w:ind w:right="140"/>
              <w:spacing w:after="0"/>
              <w:rPr>
                <w:sz w:val="20"/>
                <w:szCs w:val="20"/>
                <w:color w:val="auto"/>
              </w:rPr>
            </w:pPr>
            <w:r>
              <w:rPr>
                <w:rFonts w:ascii="Arial" w:cs="Arial" w:eastAsia="Arial" w:hAnsi="Arial"/>
                <w:sz w:val="16"/>
                <w:szCs w:val="16"/>
                <w:color w:val="auto"/>
              </w:rPr>
              <w:t>465,800</w:t>
            </w:r>
          </w:p>
        </w:tc>
        <w:tc>
          <w:tcPr>
            <w:tcW w:w="1060" w:type="dxa"/>
            <w:vAlign w:val="bottom"/>
            <w:shd w:val="clear" w:color="auto" w:fill="E6ECF8"/>
          </w:tcPr>
          <w:p>
            <w:pPr>
              <w:jc w:val="right"/>
              <w:ind w:right="181"/>
              <w:spacing w:after="0"/>
              <w:rPr>
                <w:sz w:val="20"/>
                <w:szCs w:val="20"/>
                <w:color w:val="auto"/>
              </w:rPr>
            </w:pPr>
            <w:r>
              <w:rPr>
                <w:rFonts w:ascii="Arial" w:cs="Arial" w:eastAsia="Arial" w:hAnsi="Arial"/>
                <w:sz w:val="16"/>
                <w:szCs w:val="16"/>
                <w:color w:val="auto"/>
              </w:rPr>
              <w:t>377,298</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right"/>
              <w:ind w:right="51"/>
              <w:spacing w:after="0" w:line="190" w:lineRule="exact"/>
              <w:rPr>
                <w:sz w:val="20"/>
                <w:szCs w:val="20"/>
                <w:color w:val="auto"/>
              </w:rPr>
            </w:pPr>
            <w:r>
              <w:rPr>
                <w:rFonts w:ascii="Arial" w:cs="Arial" w:eastAsia="Arial" w:hAnsi="Arial"/>
                <w:sz w:val="14"/>
                <w:szCs w:val="14"/>
                <w:color w:val="auto"/>
              </w:rPr>
              <w:t>7,533,104</w:t>
            </w:r>
            <w:r>
              <w:rPr>
                <w:rFonts w:ascii="Arial" w:cs="Arial" w:eastAsia="Arial" w:hAnsi="Arial"/>
                <w:sz w:val="22"/>
                <w:szCs w:val="22"/>
                <w:color w:val="5668B0"/>
                <w:vertAlign w:val="superscript"/>
              </w:rPr>
              <w:t>6</w:t>
            </w:r>
          </w:p>
        </w:tc>
        <w:tc>
          <w:tcPr>
            <w:tcW w:w="1480" w:type="dxa"/>
            <w:vAlign w:val="bottom"/>
            <w:shd w:val="clear" w:color="auto" w:fill="E6ECF8"/>
          </w:tcPr>
          <w:p>
            <w:pPr>
              <w:ind w:left="720"/>
              <w:spacing w:after="0"/>
              <w:rPr>
                <w:sz w:val="20"/>
                <w:szCs w:val="20"/>
                <w:color w:val="auto"/>
              </w:rPr>
            </w:pPr>
            <w:r>
              <w:rPr>
                <w:rFonts w:ascii="Arial" w:cs="Arial" w:eastAsia="Arial" w:hAnsi="Arial"/>
                <w:sz w:val="16"/>
                <w:szCs w:val="16"/>
                <w:color w:val="auto"/>
              </w:rPr>
              <w:t>20,125</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8,396,327</w:t>
            </w:r>
          </w:p>
        </w:tc>
      </w:tr>
      <w:tr>
        <w:trPr>
          <w:trHeight w:val="190"/>
        </w:trPr>
        <w:tc>
          <w:tcPr>
            <w:tcW w:w="3660" w:type="dxa"/>
            <w:vAlign w:val="bottom"/>
            <w:tcBorders>
              <w:bottom w:val="single" w:sz="8" w:color="5668B0"/>
            </w:tcBorders>
            <w:shd w:val="clear" w:color="auto" w:fill="E6ECF8"/>
          </w:tcPr>
          <w:p>
            <w:pPr>
              <w:ind w:left="740"/>
              <w:spacing w:after="0"/>
              <w:rPr>
                <w:sz w:val="20"/>
                <w:szCs w:val="20"/>
                <w:color w:val="auto"/>
              </w:rPr>
            </w:pPr>
            <w:r>
              <w:rPr>
                <w:rFonts w:ascii="Arial" w:cs="Arial" w:eastAsia="Arial" w:hAnsi="Arial"/>
                <w:sz w:val="16"/>
                <w:szCs w:val="16"/>
                <w:i w:val="1"/>
                <w:iCs w:val="1"/>
                <w:color w:val="auto"/>
              </w:rPr>
              <w:t>Commercial</w:t>
            </w:r>
          </w:p>
        </w:tc>
        <w:tc>
          <w:tcPr>
            <w:tcW w:w="880" w:type="dxa"/>
            <w:vAlign w:val="bottom"/>
            <w:tcBorders>
              <w:bottom w:val="single" w:sz="8" w:color="5668B0"/>
            </w:tcBorders>
            <w:shd w:val="clear" w:color="auto" w:fill="E6ECF8"/>
          </w:tcPr>
          <w:p>
            <w:pPr>
              <w:jc w:val="right"/>
              <w:ind w:right="59"/>
              <w:spacing w:after="0"/>
              <w:rPr>
                <w:sz w:val="20"/>
                <w:szCs w:val="20"/>
                <w:color w:val="auto"/>
              </w:rPr>
            </w:pPr>
            <w:r>
              <w:rPr>
                <w:rFonts w:ascii="Arial" w:cs="Arial" w:eastAsia="Arial" w:hAnsi="Arial"/>
                <w:sz w:val="16"/>
                <w:szCs w:val="16"/>
                <w:color w:val="auto"/>
              </w:rPr>
              <w:t>2013</w:t>
            </w:r>
          </w:p>
        </w:tc>
        <w:tc>
          <w:tcPr>
            <w:tcW w:w="1080" w:type="dxa"/>
            <w:vAlign w:val="bottom"/>
            <w:tcBorders>
              <w:bottom w:val="single" w:sz="8" w:color="5668B0"/>
            </w:tcBorders>
            <w:shd w:val="clear" w:color="auto" w:fill="E6ECF8"/>
          </w:tcPr>
          <w:p>
            <w:pPr>
              <w:jc w:val="right"/>
              <w:ind w:right="140"/>
              <w:spacing w:after="0"/>
              <w:rPr>
                <w:sz w:val="20"/>
                <w:szCs w:val="20"/>
                <w:color w:val="auto"/>
              </w:rPr>
            </w:pPr>
            <w:r>
              <w:rPr>
                <w:rFonts w:ascii="Arial" w:cs="Arial" w:eastAsia="Arial" w:hAnsi="Arial"/>
                <w:sz w:val="16"/>
                <w:szCs w:val="16"/>
                <w:color w:val="auto"/>
              </w:rPr>
              <w:t>450,000</w:t>
            </w:r>
          </w:p>
        </w:tc>
        <w:tc>
          <w:tcPr>
            <w:tcW w:w="1060" w:type="dxa"/>
            <w:vAlign w:val="bottom"/>
            <w:tcBorders>
              <w:bottom w:val="single" w:sz="8" w:color="5668B0"/>
            </w:tcBorders>
            <w:shd w:val="clear" w:color="auto" w:fill="E6ECF8"/>
          </w:tcPr>
          <w:p>
            <w:pPr>
              <w:jc w:val="right"/>
              <w:ind w:right="181"/>
              <w:spacing w:after="0"/>
              <w:rPr>
                <w:sz w:val="20"/>
                <w:szCs w:val="20"/>
                <w:color w:val="auto"/>
              </w:rPr>
            </w:pPr>
            <w:r>
              <w:rPr>
                <w:rFonts w:ascii="Arial" w:cs="Arial" w:eastAsia="Arial" w:hAnsi="Arial"/>
                <w:sz w:val="16"/>
                <w:szCs w:val="16"/>
                <w:color w:val="auto"/>
              </w:rPr>
              <w:t>364,500</w:t>
            </w:r>
          </w:p>
        </w:tc>
        <w:tc>
          <w:tcPr>
            <w:tcW w:w="1100" w:type="dxa"/>
            <w:vAlign w:val="bottom"/>
            <w:tcBorders>
              <w:bottom w:val="single" w:sz="8" w:color="5668B0"/>
            </w:tcBorders>
            <w:shd w:val="clear" w:color="auto" w:fill="E6ECF8"/>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5668B0"/>
            </w:tcBorders>
            <w:shd w:val="clear" w:color="auto" w:fill="E6ECF8"/>
          </w:tcPr>
          <w:p>
            <w:pPr>
              <w:jc w:val="right"/>
              <w:ind w:right="51"/>
              <w:spacing w:after="0" w:line="190" w:lineRule="exact"/>
              <w:rPr>
                <w:sz w:val="20"/>
                <w:szCs w:val="20"/>
                <w:color w:val="auto"/>
              </w:rPr>
            </w:pPr>
            <w:r>
              <w:rPr>
                <w:rFonts w:ascii="Arial" w:cs="Arial" w:eastAsia="Arial" w:hAnsi="Arial"/>
                <w:sz w:val="14"/>
                <w:szCs w:val="14"/>
                <w:color w:val="auto"/>
              </w:rPr>
              <w:t>6,847,486</w:t>
            </w:r>
            <w:r>
              <w:rPr>
                <w:rFonts w:ascii="Arial" w:cs="Arial" w:eastAsia="Arial" w:hAnsi="Arial"/>
                <w:sz w:val="22"/>
                <w:szCs w:val="22"/>
                <w:color w:val="5668B0"/>
                <w:vertAlign w:val="superscript"/>
              </w:rPr>
              <w:t>7</w:t>
            </w:r>
          </w:p>
        </w:tc>
        <w:tc>
          <w:tcPr>
            <w:tcW w:w="1480" w:type="dxa"/>
            <w:vAlign w:val="bottom"/>
            <w:tcBorders>
              <w:bottom w:val="single" w:sz="8" w:color="5668B0"/>
            </w:tcBorders>
            <w:shd w:val="clear" w:color="auto" w:fill="E6ECF8"/>
          </w:tcPr>
          <w:p>
            <w:pPr>
              <w:ind w:left="720"/>
              <w:spacing w:after="0"/>
              <w:rPr>
                <w:sz w:val="20"/>
                <w:szCs w:val="20"/>
                <w:color w:val="auto"/>
              </w:rPr>
            </w:pPr>
            <w:r>
              <w:rPr>
                <w:rFonts w:ascii="Arial" w:cs="Arial" w:eastAsia="Arial" w:hAnsi="Arial"/>
                <w:sz w:val="16"/>
                <w:szCs w:val="16"/>
                <w:color w:val="auto"/>
              </w:rPr>
              <w:t>17,145</w:t>
            </w:r>
          </w:p>
        </w:tc>
        <w:tc>
          <w:tcPr>
            <w:tcW w:w="94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7,679,131</w:t>
            </w: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sectPr>
      </w:pPr>
    </w:p>
    <w:p>
      <w:pPr>
        <w:spacing w:after="0" w:line="195" w:lineRule="exact"/>
        <w:rPr>
          <w:sz w:val="20"/>
          <w:szCs w:val="20"/>
          <w:color w:val="auto"/>
        </w:rPr>
      </w:pPr>
    </w:p>
    <w:p>
      <w:pPr>
        <w:ind w:left="500" w:hanging="499"/>
        <w:spacing w:after="0"/>
        <w:tabs>
          <w:tab w:leader="none" w:pos="500" w:val="left"/>
        </w:tabs>
        <w:numPr>
          <w:ilvl w:val="0"/>
          <w:numId w:val="95"/>
        </w:numPr>
        <w:rPr>
          <w:rFonts w:ascii="Arial" w:cs="Arial" w:eastAsia="Arial" w:hAnsi="Arial"/>
          <w:sz w:val="16"/>
          <w:szCs w:val="16"/>
          <w:b w:val="1"/>
          <w:bCs w:val="1"/>
          <w:color w:val="5668B0"/>
        </w:rPr>
      </w:pPr>
      <w:r>
        <w:rPr>
          <w:rFonts w:ascii="Arial" w:cs="Arial" w:eastAsia="Arial" w:hAnsi="Arial"/>
          <w:sz w:val="16"/>
          <w:szCs w:val="16"/>
          <w:color w:val="auto"/>
        </w:rPr>
        <w:t>Mr. Landry joined the Company in September 2013.</w:t>
      </w:r>
    </w:p>
    <w:p>
      <w:pPr>
        <w:spacing w:after="0" w:line="221" w:lineRule="exact"/>
        <w:rPr>
          <w:sz w:val="20"/>
          <w:szCs w:val="20"/>
          <w:color w:val="auto"/>
        </w:rPr>
      </w:pPr>
    </w:p>
    <w:p>
      <w:pPr>
        <w:ind w:left="500" w:right="20" w:hanging="499"/>
        <w:spacing w:after="0" w:line="187" w:lineRule="auto"/>
        <w:tabs>
          <w:tab w:leader="none" w:pos="500" w:val="left"/>
        </w:tabs>
        <w:numPr>
          <w:ilvl w:val="0"/>
          <w:numId w:val="96"/>
        </w:numPr>
        <w:rPr>
          <w:rFonts w:ascii="Arial" w:cs="Arial" w:eastAsia="Arial" w:hAnsi="Arial"/>
          <w:sz w:val="27"/>
          <w:szCs w:val="27"/>
          <w:b w:val="1"/>
          <w:bCs w:val="1"/>
          <w:color w:val="5668B0"/>
          <w:vertAlign w:val="superscript"/>
        </w:rPr>
      </w:pPr>
      <w:r>
        <w:rPr>
          <w:rFonts w:ascii="Arial" w:cs="Arial" w:eastAsia="Arial" w:hAnsi="Arial"/>
          <w:sz w:val="16"/>
          <w:szCs w:val="16"/>
          <w:color w:val="auto"/>
        </w:rPr>
        <w:t>Bonuses are shown in the year in which they were accrued and earned.</w:t>
      </w:r>
    </w:p>
    <w:p>
      <w:pPr>
        <w:spacing w:after="0" w:line="197" w:lineRule="exact"/>
        <w:rPr>
          <w:sz w:val="20"/>
          <w:szCs w:val="20"/>
          <w:color w:val="auto"/>
        </w:rPr>
      </w:pPr>
    </w:p>
    <w:p>
      <w:pPr>
        <w:jc w:val="both"/>
        <w:ind w:left="500" w:hanging="499"/>
        <w:spacing w:after="0" w:line="235" w:lineRule="auto"/>
        <w:tabs>
          <w:tab w:leader="none" w:pos="500" w:val="left"/>
        </w:tabs>
        <w:numPr>
          <w:ilvl w:val="0"/>
          <w:numId w:val="97"/>
        </w:numPr>
        <w:rPr>
          <w:rFonts w:ascii="Arial" w:cs="Arial" w:eastAsia="Arial" w:hAnsi="Arial"/>
          <w:sz w:val="27"/>
          <w:szCs w:val="27"/>
          <w:b w:val="1"/>
          <w:bCs w:val="1"/>
          <w:color w:val="5668B0"/>
          <w:vertAlign w:val="superscript"/>
        </w:rPr>
      </w:pPr>
      <w:r>
        <w:rPr>
          <w:rFonts w:ascii="Arial" w:cs="Arial" w:eastAsia="Arial" w:hAnsi="Arial"/>
          <w:sz w:val="16"/>
          <w:szCs w:val="16"/>
          <w:color w:val="auto"/>
        </w:rPr>
        <w:t>The amounts in column (e) and (f) reflect the respective aggregate grant date fair values (disregarding estimated forfeitures) of stock and option awards granted in 2015, 2014, and 2013, respectively, pursuant to the Regeneron Pharmaceuticals, Inc. 2014 Long-Term Incentive Plan or the Regeneron Pharmaceuticals, Inc. Second Amended and Restated 2000 Long-Term Incentive Plan. Assumptions used in the calculation of these amounts are included in Note 14 to the Company's audited financial statements for the fiscal year ended December 31, 2015 included in the 2015 Annual Report. The 2013, 2014, and 2015 annual option awards reflect a double-digit percentage decrease in the number of shares underlying the awards, in each case as compared to the prior year (other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left="503"/>
        <w:spacing w:after="0" w:line="251" w:lineRule="auto"/>
        <w:rPr>
          <w:sz w:val="20"/>
          <w:szCs w:val="20"/>
          <w:color w:val="auto"/>
        </w:rPr>
      </w:pPr>
      <w:r>
        <w:rPr>
          <w:rFonts w:ascii="Arial" w:cs="Arial" w:eastAsia="Arial" w:hAnsi="Arial"/>
          <w:sz w:val="16"/>
          <w:szCs w:val="16"/>
          <w:color w:val="auto"/>
        </w:rPr>
        <w:t>than Mr. Terifay's 2015 award, which remained at the 2014 level due to his promotion to Executive Vice President, Commercial). Mr. Landry did not receive an annual option award in 2013; his 2013 option award was granted pursuant to his offer letter with the Company in connection with the commencement of his employment.</w:t>
      </w:r>
    </w:p>
    <w:p>
      <w:pPr>
        <w:spacing w:after="0" w:line="200" w:lineRule="exact"/>
        <w:rPr>
          <w:sz w:val="20"/>
          <w:szCs w:val="20"/>
          <w:color w:val="auto"/>
        </w:rPr>
      </w:pPr>
    </w:p>
    <w:p>
      <w:pPr>
        <w:spacing w:after="0" w:line="382" w:lineRule="exact"/>
        <w:rPr>
          <w:sz w:val="20"/>
          <w:szCs w:val="20"/>
          <w:color w:val="auto"/>
        </w:rPr>
      </w:pPr>
    </w:p>
    <w:p>
      <w:pPr>
        <w:jc w:val="both"/>
        <w:ind w:left="503" w:hanging="503"/>
        <w:spacing w:after="0" w:line="226" w:lineRule="auto"/>
        <w:tabs>
          <w:tab w:leader="none" w:pos="503" w:val="left"/>
        </w:tabs>
        <w:numPr>
          <w:ilvl w:val="0"/>
          <w:numId w:val="98"/>
        </w:numPr>
        <w:rPr>
          <w:rFonts w:ascii="Arial" w:cs="Arial" w:eastAsia="Arial" w:hAnsi="Arial"/>
          <w:sz w:val="27"/>
          <w:szCs w:val="27"/>
          <w:b w:val="1"/>
          <w:bCs w:val="1"/>
          <w:color w:val="5668B0"/>
          <w:vertAlign w:val="superscript"/>
        </w:rPr>
      </w:pPr>
      <w:r>
        <w:rPr>
          <w:rFonts w:ascii="Arial" w:cs="Arial" w:eastAsia="Arial" w:hAnsi="Arial"/>
          <w:sz w:val="16"/>
          <w:szCs w:val="16"/>
          <w:color w:val="auto"/>
        </w:rPr>
        <w:t>See "Compensation Discussion and Analysis – Section 4 – Elements of Executive Compensation – Perquisites and Other Personal Benefits" for further information. Certain 2015 perquisites and other personal benefits are quantified for each of the Named Officers in the footnotes to this table below based on the actual additional cost incurred by us in providing the perquisite or other personal benefit.</w:t>
      </w:r>
    </w:p>
    <w:p>
      <w:pPr>
        <w:spacing w:after="0" w:line="212" w:lineRule="exact"/>
        <w:rPr>
          <w:sz w:val="20"/>
          <w:szCs w:val="20"/>
          <w:color w:val="auto"/>
        </w:rPr>
      </w:pPr>
    </w:p>
    <w:p>
      <w:pPr>
        <w:ind w:left="503" w:hanging="503"/>
        <w:spacing w:after="0" w:line="187" w:lineRule="auto"/>
        <w:tabs>
          <w:tab w:leader="none" w:pos="503" w:val="left"/>
        </w:tabs>
        <w:numPr>
          <w:ilvl w:val="0"/>
          <w:numId w:val="99"/>
        </w:numPr>
        <w:rPr>
          <w:rFonts w:ascii="Arial" w:cs="Arial" w:eastAsia="Arial" w:hAnsi="Arial"/>
          <w:sz w:val="27"/>
          <w:szCs w:val="27"/>
          <w:b w:val="1"/>
          <w:bCs w:val="1"/>
          <w:color w:val="5668B0"/>
          <w:vertAlign w:val="superscript"/>
        </w:rPr>
      </w:pPr>
      <w:r>
        <w:rPr>
          <w:rFonts w:ascii="Arial" w:cs="Arial" w:eastAsia="Arial" w:hAnsi="Arial"/>
          <w:sz w:val="16"/>
          <w:szCs w:val="16"/>
          <w:color w:val="auto"/>
        </w:rPr>
        <w:t>Reflects the aggregate grant date fair value of time-based option awards granted in 2015.</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hanging="499"/>
        <w:spacing w:after="0" w:line="226" w:lineRule="auto"/>
        <w:tabs>
          <w:tab w:leader="none" w:pos="500" w:val="left"/>
        </w:tabs>
        <w:numPr>
          <w:ilvl w:val="0"/>
          <w:numId w:val="100"/>
        </w:numPr>
        <w:rPr>
          <w:rFonts w:ascii="Arial" w:cs="Arial" w:eastAsia="Arial" w:hAnsi="Arial"/>
          <w:sz w:val="27"/>
          <w:szCs w:val="27"/>
          <w:b w:val="1"/>
          <w:bCs w:val="1"/>
          <w:color w:val="5668B0"/>
          <w:vertAlign w:val="superscript"/>
        </w:rPr>
      </w:pPr>
      <w:r>
        <w:rPr>
          <w:rFonts w:ascii="Arial" w:cs="Arial" w:eastAsia="Arial" w:hAnsi="Arial"/>
          <w:sz w:val="16"/>
          <w:szCs w:val="16"/>
          <w:color w:val="auto"/>
        </w:rPr>
        <w:t>Includes (i) $1,655 for life insurance premiums, (ii) $23,961 for long-term disability insurance premiums, (iii) $13,889 for medical malpractice insurance premiums, (iv) $10,600 for 401(k) Savings Plan matching contributions in respect of 2015 paid in February 2016, (v) $9,915 for tax and financial planning advisory services, and (vi) $14,200 for personal use of secure car transportation in accordance with our security policy.</w:t>
      </w:r>
    </w:p>
    <w:p>
      <w:pPr>
        <w:spacing w:after="0" w:line="212" w:lineRule="exact"/>
        <w:rPr>
          <w:sz w:val="20"/>
          <w:szCs w:val="20"/>
          <w:color w:val="auto"/>
        </w:rPr>
      </w:pPr>
    </w:p>
    <w:p>
      <w:pPr>
        <w:ind w:left="500" w:right="20" w:hanging="499"/>
        <w:spacing w:after="0" w:line="187" w:lineRule="auto"/>
        <w:tabs>
          <w:tab w:leader="none" w:pos="500" w:val="left"/>
        </w:tabs>
        <w:numPr>
          <w:ilvl w:val="0"/>
          <w:numId w:val="101"/>
        </w:numPr>
        <w:rPr>
          <w:rFonts w:ascii="Arial" w:cs="Arial" w:eastAsia="Arial" w:hAnsi="Arial"/>
          <w:sz w:val="27"/>
          <w:szCs w:val="27"/>
          <w:b w:val="1"/>
          <w:bCs w:val="1"/>
          <w:color w:val="5668B0"/>
          <w:vertAlign w:val="superscript"/>
        </w:rPr>
      </w:pPr>
      <w:r>
        <w:rPr>
          <w:rFonts w:ascii="Arial" w:cs="Arial" w:eastAsia="Arial" w:hAnsi="Arial"/>
          <w:sz w:val="16"/>
          <w:szCs w:val="16"/>
          <w:color w:val="auto"/>
        </w:rPr>
        <w:t>Reflects the aggregate grant date fair value of time-based option awards granted in 2014.</w:t>
      </w:r>
    </w:p>
    <w:p>
      <w:pPr>
        <w:spacing w:after="0" w:line="197" w:lineRule="exact"/>
        <w:rPr>
          <w:sz w:val="20"/>
          <w:szCs w:val="20"/>
          <w:color w:val="auto"/>
        </w:rPr>
      </w:pPr>
    </w:p>
    <w:p>
      <w:pPr>
        <w:jc w:val="both"/>
        <w:ind w:left="500" w:right="20" w:hanging="499"/>
        <w:spacing w:after="0" w:line="213" w:lineRule="auto"/>
        <w:tabs>
          <w:tab w:leader="none" w:pos="500" w:val="left"/>
        </w:tabs>
        <w:numPr>
          <w:ilvl w:val="0"/>
          <w:numId w:val="102"/>
        </w:numPr>
        <w:rPr>
          <w:rFonts w:ascii="Arial" w:cs="Arial" w:eastAsia="Arial" w:hAnsi="Arial"/>
          <w:sz w:val="27"/>
          <w:szCs w:val="27"/>
          <w:b w:val="1"/>
          <w:bCs w:val="1"/>
          <w:color w:val="5668B0"/>
          <w:vertAlign w:val="superscript"/>
        </w:rPr>
      </w:pPr>
      <w:r>
        <w:rPr>
          <w:rFonts w:ascii="Arial" w:cs="Arial" w:eastAsia="Arial" w:hAnsi="Arial"/>
          <w:sz w:val="16"/>
          <w:szCs w:val="16"/>
          <w:color w:val="auto"/>
        </w:rPr>
        <w:t>Reflects the aggregate grant date fair value of time-based option awards granted in 2013. In the case of Mr. Landry, such option award was granted pursuant to his offer letter with the Company in connection with the commencement of his employment.</w:t>
      </w:r>
    </w:p>
    <w:p>
      <w:pPr>
        <w:spacing w:after="0" w:line="196" w:lineRule="exact"/>
        <w:rPr>
          <w:sz w:val="20"/>
          <w:szCs w:val="20"/>
          <w:color w:val="auto"/>
        </w:rPr>
      </w:pPr>
    </w:p>
    <w:p>
      <w:pPr>
        <w:jc w:val="both"/>
        <w:ind w:left="500" w:right="20" w:hanging="499"/>
        <w:spacing w:after="0" w:line="219" w:lineRule="auto"/>
        <w:tabs>
          <w:tab w:leader="none" w:pos="500" w:val="left"/>
        </w:tabs>
        <w:numPr>
          <w:ilvl w:val="0"/>
          <w:numId w:val="103"/>
        </w:numPr>
        <w:rPr>
          <w:rFonts w:ascii="Arial" w:cs="Arial" w:eastAsia="Arial" w:hAnsi="Arial"/>
          <w:sz w:val="27"/>
          <w:szCs w:val="27"/>
          <w:b w:val="1"/>
          <w:bCs w:val="1"/>
          <w:color w:val="5668B0"/>
          <w:vertAlign w:val="superscript"/>
        </w:rPr>
      </w:pPr>
      <w:r>
        <w:rPr>
          <w:rFonts w:ascii="Arial" w:cs="Arial" w:eastAsia="Arial" w:hAnsi="Arial"/>
          <w:sz w:val="16"/>
          <w:szCs w:val="16"/>
          <w:color w:val="auto"/>
        </w:rPr>
        <w:t>Consists of (i) $10,600 for 401(k) Savings Plan matching contributions in respect of 2015 paid in February 2016, (ii) $9,915 for tax and financial planning advisory services, and (iii) $2,004 for personal use of secure car transportation in accordance with our security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275590</wp:posOffset>
            </wp:positionV>
            <wp:extent cx="642620" cy="1930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275590</wp:posOffset>
            </wp:positionV>
            <wp:extent cx="8255" cy="1930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323" w:lineRule="exact"/>
        <w:rPr>
          <w:sz w:val="20"/>
          <w:szCs w:val="20"/>
          <w:color w:val="auto"/>
        </w:rPr>
      </w:pPr>
    </w:p>
    <w:p>
      <w:pPr>
        <w:ind w:left="1160" w:hanging="744"/>
        <w:spacing w:after="0"/>
        <w:tabs>
          <w:tab w:leader="none" w:pos="1160" w:val="left"/>
        </w:tabs>
        <w:numPr>
          <w:ilvl w:val="0"/>
          <w:numId w:val="10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503" w:hanging="503"/>
        <w:spacing w:after="0" w:line="203" w:lineRule="auto"/>
        <w:tabs>
          <w:tab w:leader="none" w:pos="503" w:val="left"/>
        </w:tabs>
        <w:numPr>
          <w:ilvl w:val="0"/>
          <w:numId w:val="105"/>
        </w:numPr>
        <w:rPr>
          <w:rFonts w:ascii="Arial" w:cs="Arial" w:eastAsia="Arial" w:hAnsi="Arial"/>
          <w:sz w:val="27"/>
          <w:szCs w:val="27"/>
          <w:b w:val="1"/>
          <w:bCs w:val="1"/>
          <w:color w:val="5668B0"/>
          <w:vertAlign w:val="superscript"/>
        </w:rPr>
      </w:pPr>
      <w:r>
        <w:rPr>
          <w:rFonts w:ascii="Arial" w:cs="Arial" w:eastAsia="Arial" w:hAnsi="Arial"/>
          <w:sz w:val="16"/>
          <w:szCs w:val="16"/>
          <w:color w:val="auto"/>
        </w:rPr>
        <w:t>Consists of (i) $10,600 for 401(k) Savings Plan matching contributions in respect of 2015 paid in February 2016 and (ii) $8,760 for tax and financial planning advisory services.</w:t>
      </w:r>
    </w:p>
    <w:p>
      <w:pPr>
        <w:spacing w:after="0" w:line="211" w:lineRule="exact"/>
        <w:rPr>
          <w:sz w:val="20"/>
          <w:szCs w:val="20"/>
          <w:color w:val="auto"/>
        </w:rPr>
      </w:pPr>
    </w:p>
    <w:p>
      <w:pPr>
        <w:ind w:left="503" w:hanging="503"/>
        <w:spacing w:after="0" w:line="187" w:lineRule="auto"/>
        <w:tabs>
          <w:tab w:leader="none" w:pos="503" w:val="left"/>
        </w:tabs>
        <w:numPr>
          <w:ilvl w:val="0"/>
          <w:numId w:val="106"/>
        </w:numPr>
        <w:rPr>
          <w:rFonts w:ascii="Arial" w:cs="Arial" w:eastAsia="Arial" w:hAnsi="Arial"/>
          <w:sz w:val="27"/>
          <w:szCs w:val="27"/>
          <w:b w:val="1"/>
          <w:bCs w:val="1"/>
          <w:color w:val="5668B0"/>
          <w:vertAlign w:val="superscript"/>
        </w:rPr>
      </w:pPr>
      <w:r>
        <w:rPr>
          <w:rFonts w:ascii="Arial" w:cs="Arial" w:eastAsia="Arial" w:hAnsi="Arial"/>
          <w:sz w:val="16"/>
          <w:szCs w:val="16"/>
          <w:color w:val="auto"/>
        </w:rPr>
        <w:t>Includes the second installment in the amount of $50,000 of Mr. Landry's $100,000 sign-on bonus (paid in 2014).</w:t>
      </w:r>
    </w:p>
    <w:p>
      <w:pPr>
        <w:spacing w:after="0" w:line="196" w:lineRule="exact"/>
        <w:rPr>
          <w:rFonts w:ascii="Arial" w:cs="Arial" w:eastAsia="Arial" w:hAnsi="Arial"/>
          <w:sz w:val="27"/>
          <w:szCs w:val="27"/>
          <w:b w:val="1"/>
          <w:bCs w:val="1"/>
          <w:color w:val="5668B0"/>
          <w:vertAlign w:val="superscript"/>
        </w:rPr>
      </w:pPr>
    </w:p>
    <w:p>
      <w:pPr>
        <w:jc w:val="both"/>
        <w:ind w:left="503" w:hanging="503"/>
        <w:spacing w:after="0" w:line="203" w:lineRule="auto"/>
        <w:tabs>
          <w:tab w:leader="none" w:pos="503" w:val="left"/>
        </w:tabs>
        <w:numPr>
          <w:ilvl w:val="0"/>
          <w:numId w:val="106"/>
        </w:numPr>
        <w:rPr>
          <w:rFonts w:ascii="Arial" w:cs="Arial" w:eastAsia="Arial" w:hAnsi="Arial"/>
          <w:sz w:val="27"/>
          <w:szCs w:val="27"/>
          <w:b w:val="1"/>
          <w:bCs w:val="1"/>
          <w:color w:val="5668B0"/>
          <w:vertAlign w:val="superscript"/>
        </w:rPr>
      </w:pPr>
      <w:r>
        <w:rPr>
          <w:rFonts w:ascii="Arial" w:cs="Arial" w:eastAsia="Arial" w:hAnsi="Arial"/>
          <w:sz w:val="16"/>
          <w:szCs w:val="16"/>
          <w:color w:val="auto"/>
        </w:rPr>
        <w:t>Represents Mr. Landry's base salary paid from September 9, 2013 (the starting date of Mr. Landry's employment with the Company) to the end of 2013.</w:t>
      </w:r>
    </w:p>
    <w:p>
      <w:pPr>
        <w:spacing w:after="0" w:line="197" w:lineRule="exact"/>
        <w:rPr>
          <w:rFonts w:ascii="Arial" w:cs="Arial" w:eastAsia="Arial" w:hAnsi="Arial"/>
          <w:sz w:val="27"/>
          <w:szCs w:val="27"/>
          <w:b w:val="1"/>
          <w:bCs w:val="1"/>
          <w:color w:val="5668B0"/>
          <w:vertAlign w:val="superscript"/>
        </w:rPr>
      </w:pPr>
    </w:p>
    <w:p>
      <w:pPr>
        <w:ind w:left="503" w:hanging="503"/>
        <w:spacing w:after="0" w:line="187" w:lineRule="auto"/>
        <w:tabs>
          <w:tab w:leader="none" w:pos="503" w:val="left"/>
        </w:tabs>
        <w:numPr>
          <w:ilvl w:val="0"/>
          <w:numId w:val="106"/>
        </w:numPr>
        <w:rPr>
          <w:rFonts w:ascii="Arial" w:cs="Arial" w:eastAsia="Arial" w:hAnsi="Arial"/>
          <w:sz w:val="27"/>
          <w:szCs w:val="27"/>
          <w:b w:val="1"/>
          <w:bCs w:val="1"/>
          <w:color w:val="5668B0"/>
          <w:vertAlign w:val="superscript"/>
        </w:rPr>
      </w:pPr>
      <w:r>
        <w:rPr>
          <w:rFonts w:ascii="Arial" w:cs="Arial" w:eastAsia="Arial" w:hAnsi="Arial"/>
          <w:sz w:val="16"/>
          <w:szCs w:val="16"/>
          <w:color w:val="auto"/>
        </w:rPr>
        <w:t>Consists of the first installment of Mr. Landry's $100,000 sign-on bonus (paid in 2013).</w:t>
      </w:r>
    </w:p>
    <w:p>
      <w:pPr>
        <w:spacing w:after="0" w:line="209" w:lineRule="exact"/>
        <w:rPr>
          <w:rFonts w:ascii="Arial" w:cs="Arial" w:eastAsia="Arial" w:hAnsi="Arial"/>
          <w:sz w:val="27"/>
          <w:szCs w:val="27"/>
          <w:b w:val="1"/>
          <w:bCs w:val="1"/>
          <w:color w:val="5668B0"/>
          <w:vertAlign w:val="superscript"/>
        </w:rPr>
      </w:pPr>
    </w:p>
    <w:p>
      <w:pPr>
        <w:jc w:val="both"/>
        <w:ind w:left="503" w:hanging="503"/>
        <w:spacing w:after="0" w:line="203" w:lineRule="auto"/>
        <w:tabs>
          <w:tab w:leader="none" w:pos="503" w:val="left"/>
        </w:tabs>
        <w:numPr>
          <w:ilvl w:val="0"/>
          <w:numId w:val="106"/>
        </w:numPr>
        <w:rPr>
          <w:rFonts w:ascii="Arial" w:cs="Arial" w:eastAsia="Arial" w:hAnsi="Arial"/>
          <w:sz w:val="27"/>
          <w:szCs w:val="27"/>
          <w:b w:val="1"/>
          <w:bCs w:val="1"/>
          <w:color w:val="5668B0"/>
          <w:vertAlign w:val="superscript"/>
        </w:rPr>
      </w:pPr>
      <w:r>
        <w:rPr>
          <w:rFonts w:ascii="Arial" w:cs="Arial" w:eastAsia="Arial" w:hAnsi="Arial"/>
          <w:sz w:val="16"/>
          <w:szCs w:val="16"/>
          <w:color w:val="auto"/>
        </w:rPr>
        <w:t>Reflects the aggregate grant date fair value of restricted stock granted to Mr. Landry pursuant to his offer letter with the Company in connection with the commencement of his employment.</w:t>
      </w:r>
    </w:p>
    <w:p>
      <w:pPr>
        <w:spacing w:after="0" w:line="197" w:lineRule="exact"/>
        <w:rPr>
          <w:rFonts w:ascii="Arial" w:cs="Arial" w:eastAsia="Arial" w:hAnsi="Arial"/>
          <w:sz w:val="27"/>
          <w:szCs w:val="27"/>
          <w:b w:val="1"/>
          <w:bCs w:val="1"/>
          <w:color w:val="5668B0"/>
          <w:vertAlign w:val="superscript"/>
        </w:rPr>
      </w:pPr>
    </w:p>
    <w:p>
      <w:pPr>
        <w:jc w:val="both"/>
        <w:ind w:left="503" w:hanging="503"/>
        <w:spacing w:after="0" w:line="203" w:lineRule="auto"/>
        <w:tabs>
          <w:tab w:leader="none" w:pos="503" w:val="left"/>
        </w:tabs>
        <w:numPr>
          <w:ilvl w:val="0"/>
          <w:numId w:val="106"/>
        </w:numPr>
        <w:rPr>
          <w:rFonts w:ascii="Arial" w:cs="Arial" w:eastAsia="Arial" w:hAnsi="Arial"/>
          <w:sz w:val="27"/>
          <w:szCs w:val="27"/>
          <w:b w:val="1"/>
          <w:bCs w:val="1"/>
          <w:color w:val="5668B0"/>
          <w:vertAlign w:val="superscript"/>
        </w:rPr>
      </w:pPr>
      <w:r>
        <w:rPr>
          <w:rFonts w:ascii="Arial" w:cs="Arial" w:eastAsia="Arial" w:hAnsi="Arial"/>
          <w:sz w:val="16"/>
          <w:szCs w:val="16"/>
          <w:color w:val="auto"/>
        </w:rPr>
        <w:t>Consists of (i) $10,600 for 401(k) Savings Plan matching contributions in respect of 2015 paid in February 2016 and (ii) $9,915 for tax and financial planning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507365</wp:posOffset>
            </wp:positionV>
            <wp:extent cx="725995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3"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4561FF"/>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regarding each equity award granted to our Named Officers during 2015. There were no non-equity incentive plan awards granted in 2015.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3320" w:type="dxa"/>
            <w:vAlign w:val="bottom"/>
            <w:shd w:val="clear" w:color="auto" w:fill="5668B0"/>
          </w:tcPr>
          <w:p>
            <w:pPr>
              <w:spacing w:after="0"/>
              <w:rPr>
                <w:sz w:val="24"/>
                <w:szCs w:val="24"/>
                <w:color w:val="auto"/>
              </w:rPr>
            </w:pPr>
          </w:p>
        </w:tc>
        <w:tc>
          <w:tcPr>
            <w:tcW w:w="1840" w:type="dxa"/>
            <w:vAlign w:val="bottom"/>
            <w:shd w:val="clear" w:color="auto" w:fill="5668B0"/>
          </w:tcPr>
          <w:p>
            <w:pPr>
              <w:spacing w:after="0"/>
              <w:rPr>
                <w:sz w:val="24"/>
                <w:szCs w:val="24"/>
                <w:color w:val="auto"/>
              </w:rPr>
            </w:pPr>
          </w:p>
        </w:tc>
        <w:tc>
          <w:tcPr>
            <w:tcW w:w="1440" w:type="dxa"/>
            <w:vAlign w:val="bottom"/>
            <w:shd w:val="clear" w:color="auto" w:fill="5668B0"/>
          </w:tcPr>
          <w:p>
            <w:pPr>
              <w:spacing w:after="0"/>
              <w:rPr>
                <w:sz w:val="24"/>
                <w:szCs w:val="24"/>
                <w:color w:val="auto"/>
              </w:rPr>
            </w:pPr>
          </w:p>
        </w:tc>
        <w:tc>
          <w:tcPr>
            <w:tcW w:w="1440" w:type="dxa"/>
            <w:vAlign w:val="bottom"/>
            <w:shd w:val="clear" w:color="auto" w:fill="5668B0"/>
          </w:tcPr>
          <w:p>
            <w:pPr>
              <w:spacing w:after="0"/>
              <w:rPr>
                <w:sz w:val="24"/>
                <w:szCs w:val="24"/>
                <w:color w:val="auto"/>
              </w:rPr>
            </w:pPr>
          </w:p>
        </w:tc>
        <w:tc>
          <w:tcPr>
            <w:tcW w:w="960" w:type="dxa"/>
            <w:vAlign w:val="bottom"/>
            <w:shd w:val="clear" w:color="auto" w:fill="5668B0"/>
          </w:tcPr>
          <w:p>
            <w:pPr>
              <w:spacing w:after="0"/>
              <w:rPr>
                <w:sz w:val="24"/>
                <w:szCs w:val="24"/>
                <w:color w:val="auto"/>
              </w:rPr>
            </w:pPr>
          </w:p>
        </w:tc>
        <w:tc>
          <w:tcPr>
            <w:tcW w:w="1120" w:type="dxa"/>
            <w:vAlign w:val="bottom"/>
            <w:shd w:val="clear" w:color="auto" w:fill="5668B0"/>
          </w:tcPr>
          <w:p>
            <w:pPr>
              <w:jc w:val="right"/>
              <w:ind w:right="247"/>
              <w:spacing w:after="0"/>
              <w:rPr>
                <w:sz w:val="20"/>
                <w:szCs w:val="20"/>
                <w:color w:val="auto"/>
              </w:rPr>
            </w:pPr>
            <w:r>
              <w:rPr>
                <w:rFonts w:ascii="Arial" w:cs="Arial" w:eastAsia="Arial" w:hAnsi="Arial"/>
                <w:sz w:val="13"/>
                <w:szCs w:val="13"/>
                <w:color w:val="FFFFFE"/>
              </w:rPr>
              <w:t>Closing</w:t>
            </w:r>
          </w:p>
        </w:tc>
        <w:tc>
          <w:tcPr>
            <w:tcW w:w="1160" w:type="dxa"/>
            <w:vAlign w:val="bottom"/>
            <w:shd w:val="clear" w:color="auto" w:fill="5668B0"/>
          </w:tcPr>
          <w:p>
            <w:pPr>
              <w:spacing w:after="0"/>
              <w:rPr>
                <w:sz w:val="24"/>
                <w:szCs w:val="24"/>
                <w:color w:val="auto"/>
              </w:rPr>
            </w:pPr>
          </w:p>
        </w:tc>
      </w:tr>
      <w:tr>
        <w:trPr>
          <w:trHeight w:val="152"/>
        </w:trPr>
        <w:tc>
          <w:tcPr>
            <w:tcW w:w="3320" w:type="dxa"/>
            <w:vAlign w:val="bottom"/>
            <w:shd w:val="clear" w:color="auto" w:fill="5668B0"/>
          </w:tcPr>
          <w:p>
            <w:pPr>
              <w:spacing w:after="0"/>
              <w:rPr>
                <w:sz w:val="13"/>
                <w:szCs w:val="13"/>
                <w:color w:val="auto"/>
              </w:rPr>
            </w:pPr>
          </w:p>
        </w:tc>
        <w:tc>
          <w:tcPr>
            <w:tcW w:w="1840" w:type="dxa"/>
            <w:vAlign w:val="bottom"/>
            <w:shd w:val="clear" w:color="auto" w:fill="5668B0"/>
          </w:tcPr>
          <w:p>
            <w:pPr>
              <w:spacing w:after="0"/>
              <w:rPr>
                <w:sz w:val="13"/>
                <w:szCs w:val="13"/>
                <w:color w:val="auto"/>
              </w:rPr>
            </w:pPr>
          </w:p>
        </w:tc>
        <w:tc>
          <w:tcPr>
            <w:tcW w:w="1440" w:type="dxa"/>
            <w:vAlign w:val="bottom"/>
            <w:shd w:val="clear" w:color="auto" w:fill="5668B0"/>
          </w:tcPr>
          <w:p>
            <w:pPr>
              <w:jc w:val="right"/>
              <w:ind w:right="266"/>
              <w:spacing w:after="0"/>
              <w:rPr>
                <w:sz w:val="20"/>
                <w:szCs w:val="20"/>
                <w:color w:val="auto"/>
              </w:rPr>
            </w:pPr>
            <w:r>
              <w:rPr>
                <w:rFonts w:ascii="Arial" w:cs="Arial" w:eastAsia="Arial" w:hAnsi="Arial"/>
                <w:sz w:val="13"/>
                <w:szCs w:val="13"/>
                <w:color w:val="FFFFFE"/>
              </w:rPr>
              <w:t>All other</w:t>
            </w:r>
          </w:p>
        </w:tc>
        <w:tc>
          <w:tcPr>
            <w:tcW w:w="1440" w:type="dxa"/>
            <w:vAlign w:val="bottom"/>
            <w:shd w:val="clear" w:color="auto" w:fill="5668B0"/>
          </w:tcPr>
          <w:p>
            <w:pPr>
              <w:jc w:val="right"/>
              <w:ind w:right="166"/>
              <w:spacing w:after="0"/>
              <w:rPr>
                <w:sz w:val="20"/>
                <w:szCs w:val="20"/>
                <w:color w:val="auto"/>
              </w:rPr>
            </w:pPr>
            <w:r>
              <w:rPr>
                <w:rFonts w:ascii="Arial" w:cs="Arial" w:eastAsia="Arial" w:hAnsi="Arial"/>
                <w:sz w:val="13"/>
                <w:szCs w:val="13"/>
                <w:color w:val="FFFFFE"/>
              </w:rPr>
              <w:t>All other</w:t>
            </w:r>
          </w:p>
        </w:tc>
        <w:tc>
          <w:tcPr>
            <w:tcW w:w="960" w:type="dxa"/>
            <w:vAlign w:val="bottom"/>
            <w:shd w:val="clear" w:color="auto" w:fill="5668B0"/>
          </w:tcPr>
          <w:p>
            <w:pPr>
              <w:jc w:val="right"/>
              <w:ind w:right="126"/>
              <w:spacing w:after="0"/>
              <w:rPr>
                <w:sz w:val="20"/>
                <w:szCs w:val="20"/>
                <w:color w:val="auto"/>
              </w:rPr>
            </w:pPr>
            <w:r>
              <w:rPr>
                <w:rFonts w:ascii="Arial" w:cs="Arial" w:eastAsia="Arial" w:hAnsi="Arial"/>
                <w:sz w:val="13"/>
                <w:szCs w:val="13"/>
                <w:color w:val="FFFFFE"/>
              </w:rPr>
              <w:t>Exercise</w:t>
            </w:r>
          </w:p>
        </w:tc>
        <w:tc>
          <w:tcPr>
            <w:tcW w:w="1120" w:type="dxa"/>
            <w:vAlign w:val="bottom"/>
            <w:shd w:val="clear" w:color="auto" w:fill="5668B0"/>
          </w:tcPr>
          <w:p>
            <w:pPr>
              <w:jc w:val="right"/>
              <w:ind w:right="247"/>
              <w:spacing w:after="0"/>
              <w:rPr>
                <w:sz w:val="20"/>
                <w:szCs w:val="20"/>
                <w:color w:val="auto"/>
              </w:rPr>
            </w:pPr>
            <w:r>
              <w:rPr>
                <w:rFonts w:ascii="Arial" w:cs="Arial" w:eastAsia="Arial" w:hAnsi="Arial"/>
                <w:sz w:val="13"/>
                <w:szCs w:val="13"/>
                <w:color w:val="FFFFFE"/>
              </w:rPr>
              <w:t>price of</w:t>
            </w:r>
          </w:p>
        </w:tc>
        <w:tc>
          <w:tcPr>
            <w:tcW w:w="11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Grant date</w:t>
            </w:r>
          </w:p>
        </w:tc>
      </w:tr>
      <w:tr>
        <w:trPr>
          <w:trHeight w:val="152"/>
        </w:trPr>
        <w:tc>
          <w:tcPr>
            <w:tcW w:w="3320" w:type="dxa"/>
            <w:vAlign w:val="bottom"/>
            <w:shd w:val="clear" w:color="auto" w:fill="5668B0"/>
          </w:tcPr>
          <w:p>
            <w:pPr>
              <w:spacing w:after="0"/>
              <w:rPr>
                <w:sz w:val="13"/>
                <w:szCs w:val="13"/>
                <w:color w:val="auto"/>
              </w:rPr>
            </w:pPr>
          </w:p>
        </w:tc>
        <w:tc>
          <w:tcPr>
            <w:tcW w:w="1840" w:type="dxa"/>
            <w:vAlign w:val="bottom"/>
            <w:shd w:val="clear" w:color="auto" w:fill="5668B0"/>
          </w:tcPr>
          <w:p>
            <w:pPr>
              <w:spacing w:after="0"/>
              <w:rPr>
                <w:sz w:val="13"/>
                <w:szCs w:val="13"/>
                <w:color w:val="auto"/>
              </w:rPr>
            </w:pPr>
          </w:p>
        </w:tc>
        <w:tc>
          <w:tcPr>
            <w:tcW w:w="1440" w:type="dxa"/>
            <w:vAlign w:val="bottom"/>
            <w:shd w:val="clear" w:color="auto" w:fill="5668B0"/>
          </w:tcPr>
          <w:p>
            <w:pPr>
              <w:jc w:val="right"/>
              <w:ind w:right="266"/>
              <w:spacing w:after="0"/>
              <w:rPr>
                <w:sz w:val="20"/>
                <w:szCs w:val="20"/>
                <w:color w:val="auto"/>
              </w:rPr>
            </w:pPr>
            <w:r>
              <w:rPr>
                <w:rFonts w:ascii="Arial" w:cs="Arial" w:eastAsia="Arial" w:hAnsi="Arial"/>
                <w:sz w:val="13"/>
                <w:szCs w:val="13"/>
                <w:color w:val="FFFFFE"/>
              </w:rPr>
              <w:t>stock awards:</w:t>
            </w:r>
          </w:p>
        </w:tc>
        <w:tc>
          <w:tcPr>
            <w:tcW w:w="1440" w:type="dxa"/>
            <w:vAlign w:val="bottom"/>
            <w:shd w:val="clear" w:color="auto" w:fill="5668B0"/>
          </w:tcPr>
          <w:p>
            <w:pPr>
              <w:jc w:val="right"/>
              <w:ind w:right="166"/>
              <w:spacing w:after="0"/>
              <w:rPr>
                <w:sz w:val="20"/>
                <w:szCs w:val="20"/>
                <w:color w:val="auto"/>
              </w:rPr>
            </w:pPr>
            <w:r>
              <w:rPr>
                <w:rFonts w:ascii="Arial" w:cs="Arial" w:eastAsia="Arial" w:hAnsi="Arial"/>
                <w:sz w:val="13"/>
                <w:szCs w:val="13"/>
                <w:color w:val="FFFFFE"/>
              </w:rPr>
              <w:t>option awards:</w:t>
            </w:r>
          </w:p>
        </w:tc>
        <w:tc>
          <w:tcPr>
            <w:tcW w:w="960" w:type="dxa"/>
            <w:vAlign w:val="bottom"/>
            <w:shd w:val="clear" w:color="auto" w:fill="5668B0"/>
          </w:tcPr>
          <w:p>
            <w:pPr>
              <w:jc w:val="right"/>
              <w:ind w:right="126"/>
              <w:spacing w:after="0"/>
              <w:rPr>
                <w:sz w:val="20"/>
                <w:szCs w:val="20"/>
                <w:color w:val="auto"/>
              </w:rPr>
            </w:pPr>
            <w:r>
              <w:rPr>
                <w:rFonts w:ascii="Arial" w:cs="Arial" w:eastAsia="Arial" w:hAnsi="Arial"/>
                <w:sz w:val="13"/>
                <w:szCs w:val="13"/>
                <w:color w:val="FFFFFE"/>
              </w:rPr>
              <w:t>or base</w:t>
            </w:r>
          </w:p>
        </w:tc>
        <w:tc>
          <w:tcPr>
            <w:tcW w:w="1120" w:type="dxa"/>
            <w:vAlign w:val="bottom"/>
            <w:shd w:val="clear" w:color="auto" w:fill="5668B0"/>
          </w:tcPr>
          <w:p>
            <w:pPr>
              <w:jc w:val="right"/>
              <w:ind w:right="247"/>
              <w:spacing w:after="0"/>
              <w:rPr>
                <w:sz w:val="20"/>
                <w:szCs w:val="20"/>
                <w:color w:val="auto"/>
              </w:rPr>
            </w:pPr>
            <w:r>
              <w:rPr>
                <w:rFonts w:ascii="Arial" w:cs="Arial" w:eastAsia="Arial" w:hAnsi="Arial"/>
                <w:sz w:val="13"/>
                <w:szCs w:val="13"/>
                <w:color w:val="FFFFFE"/>
              </w:rPr>
              <w:t>Company</w:t>
            </w:r>
          </w:p>
        </w:tc>
        <w:tc>
          <w:tcPr>
            <w:tcW w:w="11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fair value</w:t>
            </w:r>
          </w:p>
        </w:tc>
      </w:tr>
      <w:tr>
        <w:trPr>
          <w:trHeight w:val="152"/>
        </w:trPr>
        <w:tc>
          <w:tcPr>
            <w:tcW w:w="3320" w:type="dxa"/>
            <w:vAlign w:val="bottom"/>
            <w:shd w:val="clear" w:color="auto" w:fill="5668B0"/>
          </w:tcPr>
          <w:p>
            <w:pPr>
              <w:spacing w:after="0"/>
              <w:rPr>
                <w:sz w:val="13"/>
                <w:szCs w:val="13"/>
                <w:color w:val="auto"/>
              </w:rPr>
            </w:pPr>
          </w:p>
        </w:tc>
        <w:tc>
          <w:tcPr>
            <w:tcW w:w="1840" w:type="dxa"/>
            <w:vAlign w:val="bottom"/>
            <w:shd w:val="clear" w:color="auto" w:fill="5668B0"/>
          </w:tcPr>
          <w:p>
            <w:pPr>
              <w:spacing w:after="0"/>
              <w:rPr>
                <w:sz w:val="13"/>
                <w:szCs w:val="13"/>
                <w:color w:val="auto"/>
              </w:rPr>
            </w:pPr>
          </w:p>
        </w:tc>
        <w:tc>
          <w:tcPr>
            <w:tcW w:w="1440" w:type="dxa"/>
            <w:vAlign w:val="bottom"/>
            <w:shd w:val="clear" w:color="auto" w:fill="5668B0"/>
          </w:tcPr>
          <w:p>
            <w:pPr>
              <w:jc w:val="right"/>
              <w:ind w:right="266"/>
              <w:spacing w:after="0"/>
              <w:rPr>
                <w:sz w:val="20"/>
                <w:szCs w:val="20"/>
                <w:color w:val="auto"/>
              </w:rPr>
            </w:pPr>
            <w:r>
              <w:rPr>
                <w:rFonts w:ascii="Arial" w:cs="Arial" w:eastAsia="Arial" w:hAnsi="Arial"/>
                <w:sz w:val="13"/>
                <w:szCs w:val="13"/>
                <w:color w:val="FFFFFE"/>
              </w:rPr>
              <w:t>number of</w:t>
            </w:r>
          </w:p>
        </w:tc>
        <w:tc>
          <w:tcPr>
            <w:tcW w:w="1440" w:type="dxa"/>
            <w:vAlign w:val="bottom"/>
            <w:shd w:val="clear" w:color="auto" w:fill="5668B0"/>
          </w:tcPr>
          <w:p>
            <w:pPr>
              <w:jc w:val="right"/>
              <w:ind w:right="166"/>
              <w:spacing w:after="0"/>
              <w:rPr>
                <w:sz w:val="20"/>
                <w:szCs w:val="20"/>
                <w:color w:val="auto"/>
              </w:rPr>
            </w:pPr>
            <w:r>
              <w:rPr>
                <w:rFonts w:ascii="Arial" w:cs="Arial" w:eastAsia="Arial" w:hAnsi="Arial"/>
                <w:sz w:val="13"/>
                <w:szCs w:val="13"/>
                <w:color w:val="FFFFFE"/>
              </w:rPr>
              <w:t>number of</w:t>
            </w:r>
          </w:p>
        </w:tc>
        <w:tc>
          <w:tcPr>
            <w:tcW w:w="960" w:type="dxa"/>
            <w:vAlign w:val="bottom"/>
            <w:shd w:val="clear" w:color="auto" w:fill="5668B0"/>
          </w:tcPr>
          <w:p>
            <w:pPr>
              <w:jc w:val="right"/>
              <w:ind w:right="126"/>
              <w:spacing w:after="0"/>
              <w:rPr>
                <w:sz w:val="20"/>
                <w:szCs w:val="20"/>
                <w:color w:val="auto"/>
              </w:rPr>
            </w:pPr>
            <w:r>
              <w:rPr>
                <w:rFonts w:ascii="Arial" w:cs="Arial" w:eastAsia="Arial" w:hAnsi="Arial"/>
                <w:sz w:val="13"/>
                <w:szCs w:val="13"/>
                <w:color w:val="FFFFFE"/>
              </w:rPr>
              <w:t>price of</w:t>
            </w:r>
          </w:p>
        </w:tc>
        <w:tc>
          <w:tcPr>
            <w:tcW w:w="1120" w:type="dxa"/>
            <w:vAlign w:val="bottom"/>
            <w:shd w:val="clear" w:color="auto" w:fill="5668B0"/>
          </w:tcPr>
          <w:p>
            <w:pPr>
              <w:jc w:val="right"/>
              <w:ind w:right="247"/>
              <w:spacing w:after="0"/>
              <w:rPr>
                <w:sz w:val="20"/>
                <w:szCs w:val="20"/>
                <w:color w:val="auto"/>
              </w:rPr>
            </w:pPr>
            <w:r>
              <w:rPr>
                <w:rFonts w:ascii="Arial" w:cs="Arial" w:eastAsia="Arial" w:hAnsi="Arial"/>
                <w:sz w:val="13"/>
                <w:szCs w:val="13"/>
                <w:color w:val="FFFFFE"/>
              </w:rPr>
              <w:t>common</w:t>
            </w:r>
          </w:p>
        </w:tc>
        <w:tc>
          <w:tcPr>
            <w:tcW w:w="11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of stock</w:t>
            </w:r>
          </w:p>
        </w:tc>
      </w:tr>
      <w:tr>
        <w:trPr>
          <w:trHeight w:val="152"/>
        </w:trPr>
        <w:tc>
          <w:tcPr>
            <w:tcW w:w="3320" w:type="dxa"/>
            <w:vAlign w:val="bottom"/>
            <w:shd w:val="clear" w:color="auto" w:fill="5668B0"/>
          </w:tcPr>
          <w:p>
            <w:pPr>
              <w:spacing w:after="0"/>
              <w:rPr>
                <w:sz w:val="13"/>
                <w:szCs w:val="13"/>
                <w:color w:val="auto"/>
              </w:rPr>
            </w:pPr>
          </w:p>
        </w:tc>
        <w:tc>
          <w:tcPr>
            <w:tcW w:w="1840" w:type="dxa"/>
            <w:vAlign w:val="bottom"/>
            <w:shd w:val="clear" w:color="auto" w:fill="5668B0"/>
          </w:tcPr>
          <w:p>
            <w:pPr>
              <w:spacing w:after="0"/>
              <w:rPr>
                <w:sz w:val="13"/>
                <w:szCs w:val="13"/>
                <w:color w:val="auto"/>
              </w:rPr>
            </w:pPr>
          </w:p>
        </w:tc>
        <w:tc>
          <w:tcPr>
            <w:tcW w:w="1440" w:type="dxa"/>
            <w:vAlign w:val="bottom"/>
            <w:shd w:val="clear" w:color="auto" w:fill="5668B0"/>
          </w:tcPr>
          <w:p>
            <w:pPr>
              <w:jc w:val="right"/>
              <w:ind w:right="266"/>
              <w:spacing w:after="0"/>
              <w:rPr>
                <w:sz w:val="20"/>
                <w:szCs w:val="20"/>
                <w:color w:val="auto"/>
              </w:rPr>
            </w:pPr>
            <w:r>
              <w:rPr>
                <w:rFonts w:ascii="Arial" w:cs="Arial" w:eastAsia="Arial" w:hAnsi="Arial"/>
                <w:sz w:val="13"/>
                <w:szCs w:val="13"/>
                <w:color w:val="FFFFFE"/>
              </w:rPr>
              <w:t>shares of</w:t>
            </w:r>
          </w:p>
        </w:tc>
        <w:tc>
          <w:tcPr>
            <w:tcW w:w="1440" w:type="dxa"/>
            <w:vAlign w:val="bottom"/>
            <w:shd w:val="clear" w:color="auto" w:fill="5668B0"/>
          </w:tcPr>
          <w:p>
            <w:pPr>
              <w:jc w:val="right"/>
              <w:ind w:right="166"/>
              <w:spacing w:after="0"/>
              <w:rPr>
                <w:sz w:val="20"/>
                <w:szCs w:val="20"/>
                <w:color w:val="auto"/>
              </w:rPr>
            </w:pPr>
            <w:r>
              <w:rPr>
                <w:rFonts w:ascii="Arial" w:cs="Arial" w:eastAsia="Arial" w:hAnsi="Arial"/>
                <w:sz w:val="13"/>
                <w:szCs w:val="13"/>
                <w:color w:val="FFFFFE"/>
              </w:rPr>
              <w:t>securities</w:t>
            </w:r>
          </w:p>
        </w:tc>
        <w:tc>
          <w:tcPr>
            <w:tcW w:w="960" w:type="dxa"/>
            <w:vAlign w:val="bottom"/>
            <w:shd w:val="clear" w:color="auto" w:fill="5668B0"/>
          </w:tcPr>
          <w:p>
            <w:pPr>
              <w:jc w:val="right"/>
              <w:ind w:right="126"/>
              <w:spacing w:after="0"/>
              <w:rPr>
                <w:sz w:val="20"/>
                <w:szCs w:val="20"/>
                <w:color w:val="auto"/>
              </w:rPr>
            </w:pPr>
            <w:r>
              <w:rPr>
                <w:rFonts w:ascii="Arial" w:cs="Arial" w:eastAsia="Arial" w:hAnsi="Arial"/>
                <w:sz w:val="13"/>
                <w:szCs w:val="13"/>
                <w:color w:val="FFFFFE"/>
              </w:rPr>
              <w:t>option</w:t>
            </w:r>
          </w:p>
        </w:tc>
        <w:tc>
          <w:tcPr>
            <w:tcW w:w="1120" w:type="dxa"/>
            <w:vAlign w:val="bottom"/>
            <w:shd w:val="clear" w:color="auto" w:fill="5668B0"/>
          </w:tcPr>
          <w:p>
            <w:pPr>
              <w:jc w:val="right"/>
              <w:ind w:right="247"/>
              <w:spacing w:after="0"/>
              <w:rPr>
                <w:sz w:val="20"/>
                <w:szCs w:val="20"/>
                <w:color w:val="auto"/>
              </w:rPr>
            </w:pPr>
            <w:r>
              <w:rPr>
                <w:rFonts w:ascii="Arial" w:cs="Arial" w:eastAsia="Arial" w:hAnsi="Arial"/>
                <w:sz w:val="13"/>
                <w:szCs w:val="13"/>
                <w:color w:val="FFFFFE"/>
              </w:rPr>
              <w:t>stock on</w:t>
            </w:r>
          </w:p>
        </w:tc>
        <w:tc>
          <w:tcPr>
            <w:tcW w:w="11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and option</w:t>
            </w:r>
          </w:p>
        </w:tc>
      </w:tr>
      <w:tr>
        <w:trPr>
          <w:trHeight w:val="147"/>
        </w:trPr>
        <w:tc>
          <w:tcPr>
            <w:tcW w:w="3320" w:type="dxa"/>
            <w:vAlign w:val="bottom"/>
            <w:shd w:val="clear" w:color="auto" w:fill="5668B0"/>
          </w:tcPr>
          <w:p>
            <w:pPr>
              <w:spacing w:after="0"/>
              <w:rPr>
                <w:sz w:val="12"/>
                <w:szCs w:val="12"/>
                <w:color w:val="auto"/>
              </w:rPr>
            </w:pPr>
          </w:p>
        </w:tc>
        <w:tc>
          <w:tcPr>
            <w:tcW w:w="1840" w:type="dxa"/>
            <w:vAlign w:val="bottom"/>
            <w:shd w:val="clear" w:color="auto" w:fill="5668B0"/>
          </w:tcPr>
          <w:p>
            <w:pPr>
              <w:spacing w:after="0"/>
              <w:rPr>
                <w:sz w:val="12"/>
                <w:szCs w:val="12"/>
                <w:color w:val="auto"/>
              </w:rPr>
            </w:pPr>
          </w:p>
        </w:tc>
        <w:tc>
          <w:tcPr>
            <w:tcW w:w="1440" w:type="dxa"/>
            <w:vAlign w:val="bottom"/>
            <w:shd w:val="clear" w:color="auto" w:fill="5668B0"/>
          </w:tcPr>
          <w:p>
            <w:pPr>
              <w:jc w:val="right"/>
              <w:ind w:right="266"/>
              <w:spacing w:after="0" w:line="148" w:lineRule="exact"/>
              <w:rPr>
                <w:sz w:val="20"/>
                <w:szCs w:val="20"/>
                <w:color w:val="auto"/>
              </w:rPr>
            </w:pPr>
            <w:r>
              <w:rPr>
                <w:rFonts w:ascii="Arial" w:cs="Arial" w:eastAsia="Arial" w:hAnsi="Arial"/>
                <w:sz w:val="13"/>
                <w:szCs w:val="13"/>
                <w:color w:val="FFFFFE"/>
              </w:rPr>
              <w:t>stock or</w:t>
            </w:r>
          </w:p>
        </w:tc>
        <w:tc>
          <w:tcPr>
            <w:tcW w:w="1440" w:type="dxa"/>
            <w:vAlign w:val="bottom"/>
            <w:shd w:val="clear" w:color="auto" w:fill="5668B0"/>
          </w:tcPr>
          <w:p>
            <w:pPr>
              <w:jc w:val="right"/>
              <w:ind w:right="166"/>
              <w:spacing w:after="0" w:line="148" w:lineRule="exact"/>
              <w:rPr>
                <w:sz w:val="20"/>
                <w:szCs w:val="20"/>
                <w:color w:val="auto"/>
              </w:rPr>
            </w:pPr>
            <w:r>
              <w:rPr>
                <w:rFonts w:ascii="Arial" w:cs="Arial" w:eastAsia="Arial" w:hAnsi="Arial"/>
                <w:sz w:val="13"/>
                <w:szCs w:val="13"/>
                <w:color w:val="FFFFFE"/>
              </w:rPr>
              <w:t>underlying</w:t>
            </w:r>
          </w:p>
        </w:tc>
        <w:tc>
          <w:tcPr>
            <w:tcW w:w="960" w:type="dxa"/>
            <w:vAlign w:val="bottom"/>
            <w:shd w:val="clear" w:color="auto" w:fill="5668B0"/>
          </w:tcPr>
          <w:p>
            <w:pPr>
              <w:jc w:val="right"/>
              <w:ind w:right="126"/>
              <w:spacing w:after="0" w:line="148" w:lineRule="exact"/>
              <w:rPr>
                <w:sz w:val="20"/>
                <w:szCs w:val="20"/>
                <w:color w:val="auto"/>
              </w:rPr>
            </w:pPr>
            <w:r>
              <w:rPr>
                <w:rFonts w:ascii="Arial" w:cs="Arial" w:eastAsia="Arial" w:hAnsi="Arial"/>
                <w:sz w:val="13"/>
                <w:szCs w:val="13"/>
                <w:color w:val="FFFFFE"/>
              </w:rPr>
              <w:t>awards</w:t>
            </w:r>
          </w:p>
        </w:tc>
        <w:tc>
          <w:tcPr>
            <w:tcW w:w="1120" w:type="dxa"/>
            <w:vAlign w:val="bottom"/>
            <w:shd w:val="clear" w:color="auto" w:fill="5668B0"/>
          </w:tcPr>
          <w:p>
            <w:pPr>
              <w:jc w:val="right"/>
              <w:ind w:right="247"/>
              <w:spacing w:after="0" w:line="148" w:lineRule="exact"/>
              <w:rPr>
                <w:sz w:val="20"/>
                <w:szCs w:val="20"/>
                <w:color w:val="auto"/>
              </w:rPr>
            </w:pPr>
            <w:r>
              <w:rPr>
                <w:rFonts w:ascii="Arial" w:cs="Arial" w:eastAsia="Arial" w:hAnsi="Arial"/>
                <w:sz w:val="13"/>
                <w:szCs w:val="13"/>
                <w:color w:val="FFFFFE"/>
              </w:rPr>
              <w:t>grant date</w:t>
            </w:r>
          </w:p>
        </w:tc>
        <w:tc>
          <w:tcPr>
            <w:tcW w:w="116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awards</w:t>
            </w:r>
          </w:p>
        </w:tc>
      </w:tr>
      <w:tr>
        <w:trPr>
          <w:trHeight w:val="182"/>
        </w:trPr>
        <w:tc>
          <w:tcPr>
            <w:tcW w:w="3320" w:type="dxa"/>
            <w:vAlign w:val="bottom"/>
            <w:shd w:val="clear" w:color="auto" w:fill="5668B0"/>
          </w:tcPr>
          <w:p>
            <w:pPr>
              <w:spacing w:after="0"/>
              <w:rPr>
                <w:sz w:val="20"/>
                <w:szCs w:val="20"/>
                <w:color w:val="auto"/>
              </w:rPr>
            </w:pPr>
            <w:r>
              <w:rPr>
                <w:rFonts w:ascii="Arial" w:cs="Arial" w:eastAsia="Arial" w:hAnsi="Arial"/>
                <w:sz w:val="13"/>
                <w:szCs w:val="13"/>
                <w:color w:val="FFFFFE"/>
              </w:rPr>
              <w:t>Name</w:t>
            </w:r>
          </w:p>
        </w:tc>
        <w:tc>
          <w:tcPr>
            <w:tcW w:w="1840" w:type="dxa"/>
            <w:vAlign w:val="bottom"/>
            <w:shd w:val="clear" w:color="auto" w:fill="5668B0"/>
          </w:tcPr>
          <w:p>
            <w:pPr>
              <w:jc w:val="right"/>
              <w:ind w:right="292"/>
              <w:spacing w:after="0"/>
              <w:rPr>
                <w:sz w:val="20"/>
                <w:szCs w:val="20"/>
                <w:color w:val="auto"/>
              </w:rPr>
            </w:pPr>
            <w:r>
              <w:rPr>
                <w:rFonts w:ascii="Arial" w:cs="Arial" w:eastAsia="Arial" w:hAnsi="Arial"/>
                <w:sz w:val="13"/>
                <w:szCs w:val="13"/>
                <w:color w:val="FFFFFE"/>
              </w:rPr>
              <w:t>Grant date</w:t>
            </w:r>
          </w:p>
        </w:tc>
        <w:tc>
          <w:tcPr>
            <w:tcW w:w="1440" w:type="dxa"/>
            <w:vAlign w:val="bottom"/>
            <w:shd w:val="clear" w:color="auto" w:fill="5668B0"/>
          </w:tcPr>
          <w:p>
            <w:pPr>
              <w:jc w:val="right"/>
              <w:ind w:right="266"/>
              <w:spacing w:after="0"/>
              <w:rPr>
                <w:sz w:val="20"/>
                <w:szCs w:val="20"/>
                <w:color w:val="auto"/>
              </w:rPr>
            </w:pPr>
            <w:r>
              <w:rPr>
                <w:rFonts w:ascii="Arial" w:cs="Arial" w:eastAsia="Arial" w:hAnsi="Arial"/>
                <w:sz w:val="13"/>
                <w:szCs w:val="13"/>
                <w:color w:val="FFFFFE"/>
              </w:rPr>
              <w:t>units (#)</w:t>
            </w:r>
          </w:p>
        </w:tc>
        <w:tc>
          <w:tcPr>
            <w:tcW w:w="1440" w:type="dxa"/>
            <w:vAlign w:val="bottom"/>
            <w:shd w:val="clear" w:color="auto" w:fill="5668B0"/>
          </w:tcPr>
          <w:p>
            <w:pPr>
              <w:jc w:val="right"/>
              <w:ind w:right="166"/>
              <w:spacing w:after="0"/>
              <w:rPr>
                <w:sz w:val="20"/>
                <w:szCs w:val="20"/>
                <w:color w:val="auto"/>
              </w:rPr>
            </w:pPr>
            <w:r>
              <w:rPr>
                <w:rFonts w:ascii="Arial" w:cs="Arial" w:eastAsia="Arial" w:hAnsi="Arial"/>
                <w:sz w:val="13"/>
                <w:szCs w:val="13"/>
                <w:color w:val="FFFFFE"/>
              </w:rPr>
              <w:t>options (#)</w:t>
            </w:r>
          </w:p>
        </w:tc>
        <w:tc>
          <w:tcPr>
            <w:tcW w:w="960" w:type="dxa"/>
            <w:vAlign w:val="bottom"/>
            <w:shd w:val="clear" w:color="auto" w:fill="5668B0"/>
          </w:tcPr>
          <w:p>
            <w:pPr>
              <w:jc w:val="right"/>
              <w:ind w:right="126"/>
              <w:spacing w:after="0" w:line="182" w:lineRule="exact"/>
              <w:rPr>
                <w:sz w:val="20"/>
                <w:szCs w:val="20"/>
                <w:color w:val="auto"/>
              </w:rPr>
            </w:pPr>
            <w:r>
              <w:rPr>
                <w:rFonts w:ascii="Arial" w:cs="Arial" w:eastAsia="Arial" w:hAnsi="Arial"/>
                <w:sz w:val="13"/>
                <w:szCs w:val="13"/>
                <w:color w:val="FFFFFE"/>
              </w:rPr>
              <w:t>($/Sh)</w:t>
            </w:r>
            <w:r>
              <w:rPr>
                <w:rFonts w:ascii="Arial" w:cs="Arial" w:eastAsia="Arial" w:hAnsi="Arial"/>
                <w:sz w:val="20"/>
                <w:szCs w:val="20"/>
                <w:color w:val="FFFFFE"/>
                <w:vertAlign w:val="superscript"/>
              </w:rPr>
              <w:t>1</w:t>
            </w:r>
          </w:p>
        </w:tc>
        <w:tc>
          <w:tcPr>
            <w:tcW w:w="1120" w:type="dxa"/>
            <w:vAlign w:val="bottom"/>
            <w:shd w:val="clear" w:color="auto" w:fill="5668B0"/>
          </w:tcPr>
          <w:p>
            <w:pPr>
              <w:jc w:val="right"/>
              <w:ind w:right="247"/>
              <w:spacing w:after="0" w:line="182" w:lineRule="exact"/>
              <w:rPr>
                <w:sz w:val="20"/>
                <w:szCs w:val="20"/>
                <w:color w:val="auto"/>
              </w:rPr>
            </w:pPr>
            <w:r>
              <w:rPr>
                <w:rFonts w:ascii="Arial" w:cs="Arial" w:eastAsia="Arial" w:hAnsi="Arial"/>
                <w:sz w:val="13"/>
                <w:szCs w:val="13"/>
                <w:color w:val="FFFFFE"/>
              </w:rPr>
              <w:t>($/Sh)</w:t>
            </w:r>
            <w:r>
              <w:rPr>
                <w:rFonts w:ascii="Arial" w:cs="Arial" w:eastAsia="Arial" w:hAnsi="Arial"/>
                <w:sz w:val="20"/>
                <w:szCs w:val="20"/>
                <w:color w:val="FFFFFE"/>
                <w:vertAlign w:val="superscript"/>
              </w:rPr>
              <w:t>1</w:t>
            </w:r>
          </w:p>
        </w:tc>
        <w:tc>
          <w:tcPr>
            <w:tcW w:w="1160" w:type="dxa"/>
            <w:vAlign w:val="bottom"/>
            <w:shd w:val="clear" w:color="auto" w:fill="5668B0"/>
          </w:tcPr>
          <w:p>
            <w:pPr>
              <w:jc w:val="right"/>
              <w:spacing w:after="0" w:line="182" w:lineRule="exact"/>
              <w:rPr>
                <w:sz w:val="20"/>
                <w:szCs w:val="20"/>
                <w:color w:val="auto"/>
              </w:rPr>
            </w:pPr>
            <w:r>
              <w:rPr>
                <w:rFonts w:ascii="Arial" w:cs="Arial" w:eastAsia="Arial" w:hAnsi="Arial"/>
                <w:sz w:val="13"/>
                <w:szCs w:val="13"/>
                <w:color w:val="FFFFFE"/>
              </w:rPr>
              <w:t>($)</w:t>
            </w:r>
            <w:r>
              <w:rPr>
                <w:rFonts w:ascii="Arial" w:cs="Arial" w:eastAsia="Arial" w:hAnsi="Arial"/>
                <w:sz w:val="20"/>
                <w:szCs w:val="20"/>
                <w:color w:val="FFFFFE"/>
                <w:vertAlign w:val="superscript"/>
              </w:rPr>
              <w:t>2</w:t>
            </w:r>
          </w:p>
        </w:tc>
      </w:tr>
      <w:tr>
        <w:trPr>
          <w:trHeight w:val="162"/>
        </w:trPr>
        <w:tc>
          <w:tcPr>
            <w:tcW w:w="3320" w:type="dxa"/>
            <w:vAlign w:val="bottom"/>
            <w:shd w:val="clear" w:color="auto" w:fill="5668B0"/>
          </w:tcPr>
          <w:p>
            <w:pPr>
              <w:spacing w:after="0"/>
              <w:rPr>
                <w:sz w:val="20"/>
                <w:szCs w:val="20"/>
                <w:color w:val="auto"/>
              </w:rPr>
            </w:pPr>
            <w:r>
              <w:rPr>
                <w:rFonts w:ascii="Arial" w:cs="Arial" w:eastAsia="Arial" w:hAnsi="Arial"/>
                <w:sz w:val="13"/>
                <w:szCs w:val="13"/>
                <w:color w:val="FFFFFE"/>
              </w:rPr>
              <w:t>(a)</w:t>
            </w:r>
          </w:p>
        </w:tc>
        <w:tc>
          <w:tcPr>
            <w:tcW w:w="1840" w:type="dxa"/>
            <w:vAlign w:val="bottom"/>
            <w:shd w:val="clear" w:color="auto" w:fill="5668B0"/>
          </w:tcPr>
          <w:p>
            <w:pPr>
              <w:jc w:val="right"/>
              <w:ind w:right="292"/>
              <w:spacing w:after="0"/>
              <w:rPr>
                <w:sz w:val="20"/>
                <w:szCs w:val="20"/>
                <w:color w:val="auto"/>
              </w:rPr>
            </w:pPr>
            <w:r>
              <w:rPr>
                <w:rFonts w:ascii="Arial" w:cs="Arial" w:eastAsia="Arial" w:hAnsi="Arial"/>
                <w:sz w:val="13"/>
                <w:szCs w:val="13"/>
                <w:color w:val="FFFFFE"/>
              </w:rPr>
              <w:t>(b)</w:t>
            </w:r>
          </w:p>
        </w:tc>
        <w:tc>
          <w:tcPr>
            <w:tcW w:w="1440" w:type="dxa"/>
            <w:vAlign w:val="bottom"/>
            <w:shd w:val="clear" w:color="auto" w:fill="5668B0"/>
          </w:tcPr>
          <w:p>
            <w:pPr>
              <w:jc w:val="right"/>
              <w:ind w:right="266"/>
              <w:spacing w:after="0"/>
              <w:rPr>
                <w:sz w:val="20"/>
                <w:szCs w:val="20"/>
                <w:color w:val="auto"/>
              </w:rPr>
            </w:pPr>
            <w:r>
              <w:rPr>
                <w:rFonts w:ascii="Arial" w:cs="Arial" w:eastAsia="Arial" w:hAnsi="Arial"/>
                <w:sz w:val="13"/>
                <w:szCs w:val="13"/>
                <w:color w:val="FFFFFE"/>
              </w:rPr>
              <w:t>(i)</w:t>
            </w:r>
          </w:p>
        </w:tc>
        <w:tc>
          <w:tcPr>
            <w:tcW w:w="1440" w:type="dxa"/>
            <w:vAlign w:val="bottom"/>
            <w:shd w:val="clear" w:color="auto" w:fill="5668B0"/>
          </w:tcPr>
          <w:p>
            <w:pPr>
              <w:jc w:val="right"/>
              <w:ind w:right="166"/>
              <w:spacing w:after="0"/>
              <w:rPr>
                <w:sz w:val="20"/>
                <w:szCs w:val="20"/>
                <w:color w:val="auto"/>
              </w:rPr>
            </w:pPr>
            <w:r>
              <w:rPr>
                <w:rFonts w:ascii="Arial" w:cs="Arial" w:eastAsia="Arial" w:hAnsi="Arial"/>
                <w:sz w:val="13"/>
                <w:szCs w:val="13"/>
                <w:color w:val="FFFFFE"/>
              </w:rPr>
              <w:t>(j)</w:t>
            </w:r>
          </w:p>
        </w:tc>
        <w:tc>
          <w:tcPr>
            <w:tcW w:w="960" w:type="dxa"/>
            <w:vAlign w:val="bottom"/>
            <w:shd w:val="clear" w:color="auto" w:fill="5668B0"/>
          </w:tcPr>
          <w:p>
            <w:pPr>
              <w:jc w:val="right"/>
              <w:ind w:right="126"/>
              <w:spacing w:after="0"/>
              <w:rPr>
                <w:sz w:val="20"/>
                <w:szCs w:val="20"/>
                <w:color w:val="auto"/>
              </w:rPr>
            </w:pPr>
            <w:r>
              <w:rPr>
                <w:rFonts w:ascii="Arial" w:cs="Arial" w:eastAsia="Arial" w:hAnsi="Arial"/>
                <w:sz w:val="13"/>
                <w:szCs w:val="13"/>
                <w:color w:val="FFFFFE"/>
              </w:rPr>
              <w:t>(k)</w:t>
            </w:r>
          </w:p>
        </w:tc>
        <w:tc>
          <w:tcPr>
            <w:tcW w:w="1120" w:type="dxa"/>
            <w:vAlign w:val="bottom"/>
            <w:shd w:val="clear" w:color="auto" w:fill="5668B0"/>
          </w:tcPr>
          <w:p>
            <w:pPr>
              <w:jc w:val="right"/>
              <w:ind w:right="247"/>
              <w:spacing w:after="0"/>
              <w:rPr>
                <w:sz w:val="20"/>
                <w:szCs w:val="20"/>
                <w:color w:val="auto"/>
              </w:rPr>
            </w:pPr>
            <w:r>
              <w:rPr>
                <w:rFonts w:ascii="Arial" w:cs="Arial" w:eastAsia="Arial" w:hAnsi="Arial"/>
                <w:sz w:val="13"/>
                <w:szCs w:val="13"/>
                <w:color w:val="FFFFFE"/>
              </w:rPr>
              <w:t>(l)</w:t>
            </w:r>
          </w:p>
        </w:tc>
        <w:tc>
          <w:tcPr>
            <w:tcW w:w="11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(l)</w:t>
            </w:r>
          </w:p>
        </w:tc>
      </w:tr>
      <w:tr>
        <w:trPr>
          <w:trHeight w:val="137"/>
        </w:trPr>
        <w:tc>
          <w:tcPr>
            <w:tcW w:w="3320" w:type="dxa"/>
            <w:vAlign w:val="bottom"/>
            <w:shd w:val="clear" w:color="auto" w:fill="5668B0"/>
          </w:tcPr>
          <w:p>
            <w:pPr>
              <w:spacing w:after="0"/>
              <w:rPr>
                <w:sz w:val="11"/>
                <w:szCs w:val="11"/>
                <w:color w:val="auto"/>
              </w:rPr>
            </w:pPr>
          </w:p>
        </w:tc>
        <w:tc>
          <w:tcPr>
            <w:tcW w:w="1840" w:type="dxa"/>
            <w:vAlign w:val="bottom"/>
            <w:shd w:val="clear" w:color="auto" w:fill="5668B0"/>
          </w:tcPr>
          <w:p>
            <w:pPr>
              <w:spacing w:after="0"/>
              <w:rPr>
                <w:sz w:val="11"/>
                <w:szCs w:val="11"/>
                <w:color w:val="auto"/>
              </w:rPr>
            </w:pPr>
          </w:p>
        </w:tc>
        <w:tc>
          <w:tcPr>
            <w:tcW w:w="1440" w:type="dxa"/>
            <w:vAlign w:val="bottom"/>
            <w:shd w:val="clear" w:color="auto" w:fill="5668B0"/>
          </w:tcPr>
          <w:p>
            <w:pPr>
              <w:spacing w:after="0"/>
              <w:rPr>
                <w:sz w:val="11"/>
                <w:szCs w:val="11"/>
                <w:color w:val="auto"/>
              </w:rPr>
            </w:pPr>
          </w:p>
        </w:tc>
        <w:tc>
          <w:tcPr>
            <w:tcW w:w="1440" w:type="dxa"/>
            <w:vAlign w:val="bottom"/>
            <w:shd w:val="clear" w:color="auto" w:fill="5668B0"/>
          </w:tcPr>
          <w:p>
            <w:pPr>
              <w:spacing w:after="0"/>
              <w:rPr>
                <w:sz w:val="11"/>
                <w:szCs w:val="11"/>
                <w:color w:val="auto"/>
              </w:rPr>
            </w:pPr>
          </w:p>
        </w:tc>
        <w:tc>
          <w:tcPr>
            <w:tcW w:w="960" w:type="dxa"/>
            <w:vAlign w:val="bottom"/>
            <w:shd w:val="clear" w:color="auto" w:fill="5668B0"/>
          </w:tcPr>
          <w:p>
            <w:pPr>
              <w:spacing w:after="0"/>
              <w:rPr>
                <w:sz w:val="11"/>
                <w:szCs w:val="11"/>
                <w:color w:val="auto"/>
              </w:rPr>
            </w:pPr>
          </w:p>
        </w:tc>
        <w:tc>
          <w:tcPr>
            <w:tcW w:w="1120" w:type="dxa"/>
            <w:vAlign w:val="bottom"/>
            <w:shd w:val="clear" w:color="auto" w:fill="5668B0"/>
          </w:tcPr>
          <w:p>
            <w:pPr>
              <w:spacing w:after="0"/>
              <w:rPr>
                <w:sz w:val="11"/>
                <w:szCs w:val="11"/>
                <w:color w:val="auto"/>
              </w:rPr>
            </w:pPr>
          </w:p>
        </w:tc>
        <w:tc>
          <w:tcPr>
            <w:tcW w:w="1160" w:type="dxa"/>
            <w:vAlign w:val="bottom"/>
            <w:shd w:val="clear" w:color="auto" w:fill="5668B0"/>
          </w:tcPr>
          <w:p>
            <w:pPr>
              <w:spacing w:after="0"/>
              <w:rPr>
                <w:sz w:val="11"/>
                <w:szCs w:val="11"/>
                <w:color w:val="auto"/>
              </w:rPr>
            </w:pPr>
          </w:p>
        </w:tc>
      </w:tr>
      <w:tr>
        <w:trPr>
          <w:trHeight w:val="190"/>
        </w:trPr>
        <w:tc>
          <w:tcPr>
            <w:tcW w:w="3320" w:type="dxa"/>
            <w:vAlign w:val="bottom"/>
            <w:tcBorders>
              <w:bottom w:val="single" w:sz="8" w:color="5668B0"/>
            </w:tcBorders>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1840" w:type="dxa"/>
            <w:vAlign w:val="bottom"/>
            <w:tcBorders>
              <w:bottom w:val="single" w:sz="8" w:color="5668B0"/>
            </w:tcBorders>
            <w:shd w:val="clear" w:color="auto" w:fill="E6ECF8"/>
          </w:tcPr>
          <w:p>
            <w:pPr>
              <w:jc w:val="right"/>
              <w:ind w:right="212"/>
              <w:spacing w:after="0" w:line="190" w:lineRule="exact"/>
              <w:rPr>
                <w:sz w:val="20"/>
                <w:szCs w:val="20"/>
                <w:color w:val="auto"/>
              </w:rPr>
            </w:pPr>
            <w:r>
              <w:rPr>
                <w:rFonts w:ascii="Arial" w:cs="Arial" w:eastAsia="Arial" w:hAnsi="Arial"/>
                <w:sz w:val="14"/>
                <w:szCs w:val="14"/>
                <w:color w:val="auto"/>
              </w:rPr>
              <w:t>12/16/2015</w:t>
            </w:r>
            <w:r>
              <w:rPr>
                <w:rFonts w:ascii="Arial" w:cs="Arial" w:eastAsia="Arial" w:hAnsi="Arial"/>
                <w:sz w:val="22"/>
                <w:szCs w:val="22"/>
                <w:color w:val="5668B0"/>
                <w:vertAlign w:val="superscript"/>
              </w:rPr>
              <w:t>3</w:t>
            </w:r>
          </w:p>
        </w:tc>
        <w:tc>
          <w:tcPr>
            <w:tcW w:w="1440" w:type="dxa"/>
            <w:vAlign w:val="bottom"/>
            <w:tcBorders>
              <w:bottom w:val="single" w:sz="8" w:color="5668B0"/>
            </w:tcBorders>
            <w:shd w:val="clear" w:color="auto" w:fill="E6ECF8"/>
          </w:tcPr>
          <w:p>
            <w:pPr>
              <w:jc w:val="right"/>
              <w:ind w:right="266"/>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5668B0"/>
            </w:tcBorders>
            <w:shd w:val="clear" w:color="auto" w:fill="E6ECF8"/>
          </w:tcPr>
          <w:p>
            <w:pPr>
              <w:jc w:val="right"/>
              <w:ind w:right="166"/>
              <w:spacing w:after="0"/>
              <w:rPr>
                <w:sz w:val="20"/>
                <w:szCs w:val="20"/>
                <w:color w:val="auto"/>
              </w:rPr>
            </w:pPr>
            <w:r>
              <w:rPr>
                <w:rFonts w:ascii="Arial" w:cs="Arial" w:eastAsia="Arial" w:hAnsi="Arial"/>
                <w:sz w:val="16"/>
                <w:szCs w:val="16"/>
                <w:color w:val="auto"/>
              </w:rPr>
              <w:t>172,723</w:t>
            </w:r>
          </w:p>
        </w:tc>
        <w:tc>
          <w:tcPr>
            <w:tcW w:w="960" w:type="dxa"/>
            <w:vAlign w:val="bottom"/>
            <w:tcBorders>
              <w:bottom w:val="single" w:sz="8" w:color="5668B0"/>
            </w:tcBorders>
            <w:shd w:val="clear" w:color="auto" w:fill="E6ECF8"/>
          </w:tcPr>
          <w:p>
            <w:pPr>
              <w:jc w:val="right"/>
              <w:ind w:right="126"/>
              <w:spacing w:after="0"/>
              <w:rPr>
                <w:sz w:val="20"/>
                <w:szCs w:val="20"/>
                <w:color w:val="auto"/>
              </w:rPr>
            </w:pPr>
            <w:r>
              <w:rPr>
                <w:rFonts w:ascii="Arial" w:cs="Arial" w:eastAsia="Arial" w:hAnsi="Arial"/>
                <w:sz w:val="16"/>
                <w:szCs w:val="16"/>
                <w:color w:val="auto"/>
              </w:rPr>
              <w:t>555.67</w:t>
            </w:r>
          </w:p>
        </w:tc>
        <w:tc>
          <w:tcPr>
            <w:tcW w:w="1120" w:type="dxa"/>
            <w:vAlign w:val="bottom"/>
            <w:tcBorders>
              <w:bottom w:val="single" w:sz="8" w:color="5668B0"/>
            </w:tcBorders>
            <w:shd w:val="clear" w:color="auto" w:fill="E6ECF8"/>
          </w:tcPr>
          <w:p>
            <w:pPr>
              <w:jc w:val="right"/>
              <w:ind w:right="247"/>
              <w:spacing w:after="0"/>
              <w:rPr>
                <w:sz w:val="20"/>
                <w:szCs w:val="20"/>
                <w:color w:val="auto"/>
              </w:rPr>
            </w:pPr>
            <w:r>
              <w:rPr>
                <w:rFonts w:ascii="Arial" w:cs="Arial" w:eastAsia="Arial" w:hAnsi="Arial"/>
                <w:sz w:val="16"/>
                <w:szCs w:val="16"/>
                <w:color w:val="auto"/>
              </w:rPr>
              <w:t>559.67</w:t>
            </w:r>
          </w:p>
        </w:tc>
        <w:tc>
          <w:tcPr>
            <w:tcW w:w="116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43,307,918</w:t>
            </w:r>
          </w:p>
        </w:tc>
      </w:tr>
      <w:tr>
        <w:trPr>
          <w:trHeight w:val="182"/>
        </w:trPr>
        <w:tc>
          <w:tcPr>
            <w:tcW w:w="3320" w:type="dxa"/>
            <w:vAlign w:val="bottom"/>
            <w:tcBorders>
              <w:bottom w:val="single" w:sz="8" w:color="5668B0"/>
            </w:tcBorders>
            <w:shd w:val="clear" w:color="auto" w:fill="D0DBEF"/>
          </w:tcPr>
          <w:p>
            <w:pPr>
              <w:spacing w:after="0" w:line="182" w:lineRule="exact"/>
              <w:rPr>
                <w:sz w:val="20"/>
                <w:szCs w:val="20"/>
                <w:color w:val="auto"/>
              </w:rPr>
            </w:pPr>
            <w:r>
              <w:rPr>
                <w:rFonts w:ascii="Arial" w:cs="Arial" w:eastAsia="Arial" w:hAnsi="Arial"/>
                <w:sz w:val="16"/>
                <w:szCs w:val="16"/>
                <w:color w:val="auto"/>
              </w:rPr>
              <w:t>George D. Yancopoulos, M.D., Ph.D.</w:t>
            </w:r>
          </w:p>
        </w:tc>
        <w:tc>
          <w:tcPr>
            <w:tcW w:w="1840" w:type="dxa"/>
            <w:vAlign w:val="bottom"/>
            <w:tcBorders>
              <w:bottom w:val="single" w:sz="8" w:color="5668B0"/>
            </w:tcBorders>
            <w:shd w:val="clear" w:color="auto" w:fill="D0DBEF"/>
          </w:tcPr>
          <w:p>
            <w:pPr>
              <w:jc w:val="right"/>
              <w:ind w:right="212"/>
              <w:spacing w:after="0" w:line="183" w:lineRule="exact"/>
              <w:rPr>
                <w:sz w:val="20"/>
                <w:szCs w:val="20"/>
                <w:color w:val="auto"/>
              </w:rPr>
            </w:pPr>
            <w:r>
              <w:rPr>
                <w:rFonts w:ascii="Arial" w:cs="Arial" w:eastAsia="Arial" w:hAnsi="Arial"/>
                <w:sz w:val="13"/>
                <w:szCs w:val="13"/>
                <w:color w:val="auto"/>
              </w:rPr>
              <w:t>12/16/2015</w:t>
            </w:r>
            <w:r>
              <w:rPr>
                <w:rFonts w:ascii="Arial" w:cs="Arial" w:eastAsia="Arial" w:hAnsi="Arial"/>
                <w:sz w:val="21"/>
                <w:szCs w:val="21"/>
                <w:color w:val="5668B0"/>
                <w:vertAlign w:val="superscript"/>
              </w:rPr>
              <w:t>3</w:t>
            </w:r>
          </w:p>
        </w:tc>
        <w:tc>
          <w:tcPr>
            <w:tcW w:w="1440" w:type="dxa"/>
            <w:vAlign w:val="bottom"/>
            <w:tcBorders>
              <w:bottom w:val="single" w:sz="8" w:color="5668B0"/>
            </w:tcBorders>
            <w:shd w:val="clear" w:color="auto" w:fill="D0DBEF"/>
          </w:tcPr>
          <w:p>
            <w:pPr>
              <w:jc w:val="right"/>
              <w:ind w:right="266"/>
              <w:spacing w:after="0" w:line="182"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5668B0"/>
            </w:tcBorders>
            <w:shd w:val="clear" w:color="auto" w:fill="D0DBEF"/>
          </w:tcPr>
          <w:p>
            <w:pPr>
              <w:jc w:val="right"/>
              <w:ind w:right="166"/>
              <w:spacing w:after="0" w:line="182" w:lineRule="exact"/>
              <w:rPr>
                <w:sz w:val="20"/>
                <w:szCs w:val="20"/>
                <w:color w:val="auto"/>
              </w:rPr>
            </w:pPr>
            <w:r>
              <w:rPr>
                <w:rFonts w:ascii="Arial" w:cs="Arial" w:eastAsia="Arial" w:hAnsi="Arial"/>
                <w:sz w:val="16"/>
                <w:szCs w:val="16"/>
                <w:color w:val="auto"/>
              </w:rPr>
              <w:t>146,815</w:t>
            </w:r>
          </w:p>
        </w:tc>
        <w:tc>
          <w:tcPr>
            <w:tcW w:w="960" w:type="dxa"/>
            <w:vAlign w:val="bottom"/>
            <w:tcBorders>
              <w:bottom w:val="single" w:sz="8" w:color="5668B0"/>
            </w:tcBorders>
            <w:shd w:val="clear" w:color="auto" w:fill="D0DBEF"/>
          </w:tcPr>
          <w:p>
            <w:pPr>
              <w:jc w:val="right"/>
              <w:ind w:right="126"/>
              <w:spacing w:after="0" w:line="182" w:lineRule="exact"/>
              <w:rPr>
                <w:sz w:val="20"/>
                <w:szCs w:val="20"/>
                <w:color w:val="auto"/>
              </w:rPr>
            </w:pPr>
            <w:r>
              <w:rPr>
                <w:rFonts w:ascii="Arial" w:cs="Arial" w:eastAsia="Arial" w:hAnsi="Arial"/>
                <w:sz w:val="16"/>
                <w:szCs w:val="16"/>
                <w:color w:val="auto"/>
              </w:rPr>
              <w:t>555.67</w:t>
            </w:r>
          </w:p>
        </w:tc>
        <w:tc>
          <w:tcPr>
            <w:tcW w:w="1120" w:type="dxa"/>
            <w:vAlign w:val="bottom"/>
            <w:tcBorders>
              <w:bottom w:val="single" w:sz="8" w:color="5668B0"/>
            </w:tcBorders>
            <w:shd w:val="clear" w:color="auto" w:fill="D0DBEF"/>
          </w:tcPr>
          <w:p>
            <w:pPr>
              <w:jc w:val="right"/>
              <w:ind w:right="247"/>
              <w:spacing w:after="0" w:line="182" w:lineRule="exact"/>
              <w:rPr>
                <w:sz w:val="20"/>
                <w:szCs w:val="20"/>
                <w:color w:val="auto"/>
              </w:rPr>
            </w:pPr>
            <w:r>
              <w:rPr>
                <w:rFonts w:ascii="Arial" w:cs="Arial" w:eastAsia="Arial" w:hAnsi="Arial"/>
                <w:sz w:val="16"/>
                <w:szCs w:val="16"/>
                <w:color w:val="auto"/>
              </w:rPr>
              <w:t>559.67</w:t>
            </w:r>
          </w:p>
        </w:tc>
        <w:tc>
          <w:tcPr>
            <w:tcW w:w="1160" w:type="dxa"/>
            <w:vAlign w:val="bottom"/>
            <w:tcBorders>
              <w:bottom w:val="single" w:sz="8" w:color="5668B0"/>
            </w:tcBorders>
            <w:shd w:val="clear" w:color="auto" w:fill="D0DBEF"/>
          </w:tcPr>
          <w:p>
            <w:pPr>
              <w:jc w:val="right"/>
              <w:spacing w:after="0" w:line="182" w:lineRule="exact"/>
              <w:rPr>
                <w:sz w:val="20"/>
                <w:szCs w:val="20"/>
                <w:color w:val="auto"/>
              </w:rPr>
            </w:pPr>
            <w:r>
              <w:rPr>
                <w:rFonts w:ascii="Arial" w:cs="Arial" w:eastAsia="Arial" w:hAnsi="Arial"/>
                <w:sz w:val="16"/>
                <w:szCs w:val="16"/>
                <w:color w:val="auto"/>
              </w:rPr>
              <w:t>36,811,837</w:t>
            </w:r>
          </w:p>
        </w:tc>
      </w:tr>
      <w:tr>
        <w:trPr>
          <w:trHeight w:val="182"/>
        </w:trPr>
        <w:tc>
          <w:tcPr>
            <w:tcW w:w="3320" w:type="dxa"/>
            <w:vAlign w:val="bottom"/>
            <w:tcBorders>
              <w:bottom w:val="single" w:sz="8" w:color="5668B0"/>
            </w:tcBorders>
            <w:shd w:val="clear" w:color="auto" w:fill="E6ECF8"/>
          </w:tcPr>
          <w:p>
            <w:pPr>
              <w:spacing w:after="0" w:line="182" w:lineRule="exact"/>
              <w:rPr>
                <w:sz w:val="20"/>
                <w:szCs w:val="20"/>
                <w:color w:val="auto"/>
              </w:rPr>
            </w:pPr>
            <w:r>
              <w:rPr>
                <w:rFonts w:ascii="Arial" w:cs="Arial" w:eastAsia="Arial" w:hAnsi="Arial"/>
                <w:sz w:val="16"/>
                <w:szCs w:val="16"/>
                <w:color w:val="auto"/>
              </w:rPr>
              <w:t>Robert E. Landry</w:t>
            </w:r>
          </w:p>
        </w:tc>
        <w:tc>
          <w:tcPr>
            <w:tcW w:w="1840" w:type="dxa"/>
            <w:vAlign w:val="bottom"/>
            <w:tcBorders>
              <w:bottom w:val="single" w:sz="8" w:color="5668B0"/>
            </w:tcBorders>
            <w:shd w:val="clear" w:color="auto" w:fill="E6ECF8"/>
          </w:tcPr>
          <w:p>
            <w:pPr>
              <w:jc w:val="right"/>
              <w:ind w:right="212"/>
              <w:spacing w:after="0" w:line="183" w:lineRule="exact"/>
              <w:rPr>
                <w:sz w:val="20"/>
                <w:szCs w:val="20"/>
                <w:color w:val="auto"/>
              </w:rPr>
            </w:pPr>
            <w:r>
              <w:rPr>
                <w:rFonts w:ascii="Arial" w:cs="Arial" w:eastAsia="Arial" w:hAnsi="Arial"/>
                <w:sz w:val="13"/>
                <w:szCs w:val="13"/>
                <w:color w:val="auto"/>
              </w:rPr>
              <w:t>12/16/2015</w:t>
            </w:r>
            <w:r>
              <w:rPr>
                <w:rFonts w:ascii="Arial" w:cs="Arial" w:eastAsia="Arial" w:hAnsi="Arial"/>
                <w:sz w:val="21"/>
                <w:szCs w:val="21"/>
                <w:color w:val="5668B0"/>
                <w:vertAlign w:val="superscript"/>
              </w:rPr>
              <w:t>3</w:t>
            </w:r>
          </w:p>
        </w:tc>
        <w:tc>
          <w:tcPr>
            <w:tcW w:w="1440" w:type="dxa"/>
            <w:vAlign w:val="bottom"/>
            <w:tcBorders>
              <w:bottom w:val="single" w:sz="8" w:color="5668B0"/>
            </w:tcBorders>
            <w:shd w:val="clear" w:color="auto" w:fill="E6ECF8"/>
          </w:tcPr>
          <w:p>
            <w:pPr>
              <w:jc w:val="right"/>
              <w:ind w:right="266"/>
              <w:spacing w:after="0" w:line="182"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5668B0"/>
            </w:tcBorders>
            <w:shd w:val="clear" w:color="auto" w:fill="E6ECF8"/>
          </w:tcPr>
          <w:p>
            <w:pPr>
              <w:jc w:val="right"/>
              <w:ind w:right="166"/>
              <w:spacing w:after="0" w:line="182" w:lineRule="exact"/>
              <w:rPr>
                <w:sz w:val="20"/>
                <w:szCs w:val="20"/>
                <w:color w:val="auto"/>
              </w:rPr>
            </w:pPr>
            <w:r>
              <w:rPr>
                <w:rFonts w:ascii="Arial" w:cs="Arial" w:eastAsia="Arial" w:hAnsi="Arial"/>
                <w:sz w:val="16"/>
                <w:szCs w:val="16"/>
                <w:color w:val="auto"/>
              </w:rPr>
              <w:t>28,900</w:t>
            </w:r>
          </w:p>
        </w:tc>
        <w:tc>
          <w:tcPr>
            <w:tcW w:w="960" w:type="dxa"/>
            <w:vAlign w:val="bottom"/>
            <w:tcBorders>
              <w:bottom w:val="single" w:sz="8" w:color="5668B0"/>
            </w:tcBorders>
            <w:shd w:val="clear" w:color="auto" w:fill="E6ECF8"/>
          </w:tcPr>
          <w:p>
            <w:pPr>
              <w:jc w:val="right"/>
              <w:ind w:right="126"/>
              <w:spacing w:after="0" w:line="182" w:lineRule="exact"/>
              <w:rPr>
                <w:sz w:val="20"/>
                <w:szCs w:val="20"/>
                <w:color w:val="auto"/>
              </w:rPr>
            </w:pPr>
            <w:r>
              <w:rPr>
                <w:rFonts w:ascii="Arial" w:cs="Arial" w:eastAsia="Arial" w:hAnsi="Arial"/>
                <w:sz w:val="16"/>
                <w:szCs w:val="16"/>
                <w:color w:val="auto"/>
              </w:rPr>
              <w:t>555.67</w:t>
            </w:r>
          </w:p>
        </w:tc>
        <w:tc>
          <w:tcPr>
            <w:tcW w:w="1120" w:type="dxa"/>
            <w:vAlign w:val="bottom"/>
            <w:tcBorders>
              <w:bottom w:val="single" w:sz="8" w:color="5668B0"/>
            </w:tcBorders>
            <w:shd w:val="clear" w:color="auto" w:fill="E6ECF8"/>
          </w:tcPr>
          <w:p>
            <w:pPr>
              <w:jc w:val="right"/>
              <w:ind w:right="247"/>
              <w:spacing w:after="0" w:line="182" w:lineRule="exact"/>
              <w:rPr>
                <w:sz w:val="20"/>
                <w:szCs w:val="20"/>
                <w:color w:val="auto"/>
              </w:rPr>
            </w:pPr>
            <w:r>
              <w:rPr>
                <w:rFonts w:ascii="Arial" w:cs="Arial" w:eastAsia="Arial" w:hAnsi="Arial"/>
                <w:sz w:val="16"/>
                <w:szCs w:val="16"/>
                <w:color w:val="auto"/>
              </w:rPr>
              <w:t>559.67</w:t>
            </w:r>
          </w:p>
        </w:tc>
        <w:tc>
          <w:tcPr>
            <w:tcW w:w="1160" w:type="dxa"/>
            <w:vAlign w:val="bottom"/>
            <w:tcBorders>
              <w:bottom w:val="single" w:sz="8" w:color="5668B0"/>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7,246,284</w:t>
            </w:r>
          </w:p>
        </w:tc>
      </w:tr>
      <w:tr>
        <w:trPr>
          <w:trHeight w:val="182"/>
        </w:trPr>
        <w:tc>
          <w:tcPr>
            <w:tcW w:w="3320" w:type="dxa"/>
            <w:vAlign w:val="bottom"/>
            <w:tcBorders>
              <w:bottom w:val="single" w:sz="8" w:color="5668B0"/>
            </w:tcBorders>
            <w:shd w:val="clear" w:color="auto" w:fill="D0DBEF"/>
          </w:tcPr>
          <w:p>
            <w:pPr>
              <w:spacing w:after="0" w:line="182" w:lineRule="exact"/>
              <w:rPr>
                <w:sz w:val="20"/>
                <w:szCs w:val="20"/>
                <w:color w:val="auto"/>
              </w:rPr>
            </w:pPr>
            <w:r>
              <w:rPr>
                <w:rFonts w:ascii="Arial" w:cs="Arial" w:eastAsia="Arial" w:hAnsi="Arial"/>
                <w:sz w:val="16"/>
                <w:szCs w:val="16"/>
                <w:color w:val="auto"/>
              </w:rPr>
              <w:t>Neil Stahl, Ph.D.</w:t>
            </w:r>
          </w:p>
        </w:tc>
        <w:tc>
          <w:tcPr>
            <w:tcW w:w="1840" w:type="dxa"/>
            <w:vAlign w:val="bottom"/>
            <w:tcBorders>
              <w:bottom w:val="single" w:sz="8" w:color="5668B0"/>
            </w:tcBorders>
            <w:shd w:val="clear" w:color="auto" w:fill="D0DBEF"/>
          </w:tcPr>
          <w:p>
            <w:pPr>
              <w:jc w:val="right"/>
              <w:ind w:right="212"/>
              <w:spacing w:after="0" w:line="183" w:lineRule="exact"/>
              <w:rPr>
                <w:sz w:val="20"/>
                <w:szCs w:val="20"/>
                <w:color w:val="auto"/>
              </w:rPr>
            </w:pPr>
            <w:r>
              <w:rPr>
                <w:rFonts w:ascii="Arial" w:cs="Arial" w:eastAsia="Arial" w:hAnsi="Arial"/>
                <w:sz w:val="13"/>
                <w:szCs w:val="13"/>
                <w:color w:val="auto"/>
              </w:rPr>
              <w:t>12/16/2015</w:t>
            </w:r>
            <w:r>
              <w:rPr>
                <w:rFonts w:ascii="Arial" w:cs="Arial" w:eastAsia="Arial" w:hAnsi="Arial"/>
                <w:sz w:val="21"/>
                <w:szCs w:val="21"/>
                <w:color w:val="5668B0"/>
                <w:vertAlign w:val="superscript"/>
              </w:rPr>
              <w:t>3</w:t>
            </w:r>
          </w:p>
        </w:tc>
        <w:tc>
          <w:tcPr>
            <w:tcW w:w="1440" w:type="dxa"/>
            <w:vAlign w:val="bottom"/>
            <w:tcBorders>
              <w:bottom w:val="single" w:sz="8" w:color="5668B0"/>
            </w:tcBorders>
            <w:shd w:val="clear" w:color="auto" w:fill="D0DBEF"/>
          </w:tcPr>
          <w:p>
            <w:pPr>
              <w:jc w:val="right"/>
              <w:ind w:right="266"/>
              <w:spacing w:after="0" w:line="182"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5668B0"/>
            </w:tcBorders>
            <w:shd w:val="clear" w:color="auto" w:fill="D0DBEF"/>
          </w:tcPr>
          <w:p>
            <w:pPr>
              <w:jc w:val="right"/>
              <w:ind w:right="166"/>
              <w:spacing w:after="0" w:line="182" w:lineRule="exact"/>
              <w:rPr>
                <w:sz w:val="20"/>
                <w:szCs w:val="20"/>
                <w:color w:val="auto"/>
              </w:rPr>
            </w:pPr>
            <w:r>
              <w:rPr>
                <w:rFonts w:ascii="Arial" w:cs="Arial" w:eastAsia="Arial" w:hAnsi="Arial"/>
                <w:sz w:val="16"/>
                <w:szCs w:val="16"/>
                <w:color w:val="auto"/>
              </w:rPr>
              <w:t>68,638</w:t>
            </w:r>
          </w:p>
        </w:tc>
        <w:tc>
          <w:tcPr>
            <w:tcW w:w="960" w:type="dxa"/>
            <w:vAlign w:val="bottom"/>
            <w:tcBorders>
              <w:bottom w:val="single" w:sz="8" w:color="5668B0"/>
            </w:tcBorders>
            <w:shd w:val="clear" w:color="auto" w:fill="D0DBEF"/>
          </w:tcPr>
          <w:p>
            <w:pPr>
              <w:jc w:val="right"/>
              <w:ind w:right="126"/>
              <w:spacing w:after="0" w:line="182" w:lineRule="exact"/>
              <w:rPr>
                <w:sz w:val="20"/>
                <w:szCs w:val="20"/>
                <w:color w:val="auto"/>
              </w:rPr>
            </w:pPr>
            <w:r>
              <w:rPr>
                <w:rFonts w:ascii="Arial" w:cs="Arial" w:eastAsia="Arial" w:hAnsi="Arial"/>
                <w:sz w:val="16"/>
                <w:szCs w:val="16"/>
                <w:color w:val="auto"/>
              </w:rPr>
              <w:t>555.67</w:t>
            </w:r>
          </w:p>
        </w:tc>
        <w:tc>
          <w:tcPr>
            <w:tcW w:w="1120" w:type="dxa"/>
            <w:vAlign w:val="bottom"/>
            <w:tcBorders>
              <w:bottom w:val="single" w:sz="8" w:color="5668B0"/>
            </w:tcBorders>
            <w:shd w:val="clear" w:color="auto" w:fill="D0DBEF"/>
          </w:tcPr>
          <w:p>
            <w:pPr>
              <w:jc w:val="right"/>
              <w:ind w:right="247"/>
              <w:spacing w:after="0" w:line="182" w:lineRule="exact"/>
              <w:rPr>
                <w:sz w:val="20"/>
                <w:szCs w:val="20"/>
                <w:color w:val="auto"/>
              </w:rPr>
            </w:pPr>
            <w:r>
              <w:rPr>
                <w:rFonts w:ascii="Arial" w:cs="Arial" w:eastAsia="Arial" w:hAnsi="Arial"/>
                <w:sz w:val="16"/>
                <w:szCs w:val="16"/>
                <w:color w:val="auto"/>
              </w:rPr>
              <w:t>559.67</w:t>
            </w:r>
          </w:p>
        </w:tc>
        <w:tc>
          <w:tcPr>
            <w:tcW w:w="1160" w:type="dxa"/>
            <w:vAlign w:val="bottom"/>
            <w:tcBorders>
              <w:bottom w:val="single" w:sz="8" w:color="5668B0"/>
            </w:tcBorders>
            <w:shd w:val="clear" w:color="auto" w:fill="D0DBEF"/>
          </w:tcPr>
          <w:p>
            <w:pPr>
              <w:jc w:val="right"/>
              <w:spacing w:after="0" w:line="182" w:lineRule="exact"/>
              <w:rPr>
                <w:sz w:val="20"/>
                <w:szCs w:val="20"/>
                <w:color w:val="auto"/>
              </w:rPr>
            </w:pPr>
            <w:r>
              <w:rPr>
                <w:rFonts w:ascii="Arial" w:cs="Arial" w:eastAsia="Arial" w:hAnsi="Arial"/>
                <w:sz w:val="16"/>
                <w:szCs w:val="16"/>
                <w:color w:val="auto"/>
              </w:rPr>
              <w:t>17,209,995</w:t>
            </w:r>
          </w:p>
        </w:tc>
      </w:tr>
      <w:tr>
        <w:trPr>
          <w:trHeight w:val="182"/>
        </w:trPr>
        <w:tc>
          <w:tcPr>
            <w:tcW w:w="3320" w:type="dxa"/>
            <w:vAlign w:val="bottom"/>
            <w:tcBorders>
              <w:bottom w:val="single" w:sz="8" w:color="5668B0"/>
            </w:tcBorders>
            <w:shd w:val="clear" w:color="auto" w:fill="E6ECF8"/>
          </w:tcPr>
          <w:p>
            <w:pPr>
              <w:spacing w:after="0" w:line="182" w:lineRule="exact"/>
              <w:rPr>
                <w:sz w:val="20"/>
                <w:szCs w:val="20"/>
                <w:color w:val="auto"/>
              </w:rPr>
            </w:pPr>
            <w:r>
              <w:rPr>
                <w:rFonts w:ascii="Arial" w:cs="Arial" w:eastAsia="Arial" w:hAnsi="Arial"/>
                <w:sz w:val="16"/>
                <w:szCs w:val="16"/>
                <w:color w:val="auto"/>
              </w:rPr>
              <w:t>Robert J. Terifay</w:t>
            </w:r>
          </w:p>
        </w:tc>
        <w:tc>
          <w:tcPr>
            <w:tcW w:w="1840" w:type="dxa"/>
            <w:vAlign w:val="bottom"/>
            <w:tcBorders>
              <w:bottom w:val="single" w:sz="8" w:color="5668B0"/>
            </w:tcBorders>
            <w:shd w:val="clear" w:color="auto" w:fill="E6ECF8"/>
          </w:tcPr>
          <w:p>
            <w:pPr>
              <w:jc w:val="right"/>
              <w:ind w:right="212"/>
              <w:spacing w:after="0" w:line="183" w:lineRule="exact"/>
              <w:rPr>
                <w:sz w:val="20"/>
                <w:szCs w:val="20"/>
                <w:color w:val="auto"/>
              </w:rPr>
            </w:pPr>
            <w:r>
              <w:rPr>
                <w:rFonts w:ascii="Arial" w:cs="Arial" w:eastAsia="Arial" w:hAnsi="Arial"/>
                <w:sz w:val="13"/>
                <w:szCs w:val="13"/>
                <w:color w:val="auto"/>
              </w:rPr>
              <w:t>12/16/2015</w:t>
            </w:r>
            <w:r>
              <w:rPr>
                <w:rFonts w:ascii="Arial" w:cs="Arial" w:eastAsia="Arial" w:hAnsi="Arial"/>
                <w:sz w:val="21"/>
                <w:szCs w:val="21"/>
                <w:color w:val="5668B0"/>
                <w:vertAlign w:val="superscript"/>
              </w:rPr>
              <w:t>3</w:t>
            </w:r>
          </w:p>
        </w:tc>
        <w:tc>
          <w:tcPr>
            <w:tcW w:w="1440" w:type="dxa"/>
            <w:vAlign w:val="bottom"/>
            <w:tcBorders>
              <w:bottom w:val="single" w:sz="8" w:color="5668B0"/>
            </w:tcBorders>
            <w:shd w:val="clear" w:color="auto" w:fill="E6ECF8"/>
          </w:tcPr>
          <w:p>
            <w:pPr>
              <w:jc w:val="right"/>
              <w:ind w:right="266"/>
              <w:spacing w:after="0" w:line="182"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5668B0"/>
            </w:tcBorders>
            <w:shd w:val="clear" w:color="auto" w:fill="E6ECF8"/>
          </w:tcPr>
          <w:p>
            <w:pPr>
              <w:jc w:val="right"/>
              <w:ind w:right="166"/>
              <w:spacing w:after="0" w:line="182" w:lineRule="exact"/>
              <w:rPr>
                <w:sz w:val="20"/>
                <w:szCs w:val="20"/>
                <w:color w:val="auto"/>
              </w:rPr>
            </w:pPr>
            <w:r>
              <w:rPr>
                <w:rFonts w:ascii="Arial" w:cs="Arial" w:eastAsia="Arial" w:hAnsi="Arial"/>
                <w:sz w:val="16"/>
                <w:szCs w:val="16"/>
                <w:color w:val="auto"/>
              </w:rPr>
              <w:t>40,000</w:t>
            </w:r>
          </w:p>
        </w:tc>
        <w:tc>
          <w:tcPr>
            <w:tcW w:w="960" w:type="dxa"/>
            <w:vAlign w:val="bottom"/>
            <w:tcBorders>
              <w:bottom w:val="single" w:sz="8" w:color="5668B0"/>
            </w:tcBorders>
            <w:shd w:val="clear" w:color="auto" w:fill="E6ECF8"/>
          </w:tcPr>
          <w:p>
            <w:pPr>
              <w:jc w:val="right"/>
              <w:ind w:right="126"/>
              <w:spacing w:after="0" w:line="182" w:lineRule="exact"/>
              <w:rPr>
                <w:sz w:val="20"/>
                <w:szCs w:val="20"/>
                <w:color w:val="auto"/>
              </w:rPr>
            </w:pPr>
            <w:r>
              <w:rPr>
                <w:rFonts w:ascii="Arial" w:cs="Arial" w:eastAsia="Arial" w:hAnsi="Arial"/>
                <w:sz w:val="16"/>
                <w:szCs w:val="16"/>
                <w:color w:val="auto"/>
              </w:rPr>
              <w:t>555.67</w:t>
            </w:r>
          </w:p>
        </w:tc>
        <w:tc>
          <w:tcPr>
            <w:tcW w:w="1120" w:type="dxa"/>
            <w:vAlign w:val="bottom"/>
            <w:tcBorders>
              <w:bottom w:val="single" w:sz="8" w:color="5668B0"/>
            </w:tcBorders>
            <w:shd w:val="clear" w:color="auto" w:fill="E6ECF8"/>
          </w:tcPr>
          <w:p>
            <w:pPr>
              <w:jc w:val="right"/>
              <w:ind w:right="247"/>
              <w:spacing w:after="0" w:line="182" w:lineRule="exact"/>
              <w:rPr>
                <w:sz w:val="20"/>
                <w:szCs w:val="20"/>
                <w:color w:val="auto"/>
              </w:rPr>
            </w:pPr>
            <w:r>
              <w:rPr>
                <w:rFonts w:ascii="Arial" w:cs="Arial" w:eastAsia="Arial" w:hAnsi="Arial"/>
                <w:sz w:val="16"/>
                <w:szCs w:val="16"/>
                <w:color w:val="auto"/>
              </w:rPr>
              <w:t>559.67</w:t>
            </w:r>
          </w:p>
        </w:tc>
        <w:tc>
          <w:tcPr>
            <w:tcW w:w="1160" w:type="dxa"/>
            <w:vAlign w:val="bottom"/>
            <w:tcBorders>
              <w:bottom w:val="single" w:sz="8" w:color="5668B0"/>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10,029,459</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Pr>
          <w:p>
            <w:pPr>
              <w:jc w:val="right"/>
              <w:ind w:right="151"/>
              <w:spacing w:after="0"/>
              <w:rPr>
                <w:sz w:val="20"/>
                <w:szCs w:val="20"/>
                <w:color w:val="auto"/>
              </w:rPr>
            </w:pPr>
            <w:r>
              <w:rPr>
                <w:rFonts w:ascii="Arial" w:cs="Arial" w:eastAsia="Arial" w:hAnsi="Arial"/>
                <w:sz w:val="14"/>
                <w:szCs w:val="14"/>
                <w:b w:val="1"/>
                <w:bCs w:val="1"/>
                <w:color w:val="5668B0"/>
                <w:w w:val="76"/>
              </w:rPr>
              <w:t>1</w:t>
            </w:r>
          </w:p>
        </w:tc>
        <w:tc>
          <w:tcPr>
            <w:tcW w:w="5420" w:type="dxa"/>
            <w:vAlign w:val="bottom"/>
            <w:gridSpan w:val="7"/>
          </w:tcPr>
          <w:p>
            <w:pPr>
              <w:ind w:left="200"/>
              <w:spacing w:after="0"/>
              <w:rPr>
                <w:sz w:val="20"/>
                <w:szCs w:val="20"/>
                <w:color w:val="auto"/>
              </w:rPr>
            </w:pPr>
            <w:r>
              <w:rPr>
                <w:rFonts w:ascii="Arial" w:cs="Arial" w:eastAsia="Arial" w:hAnsi="Arial"/>
                <w:sz w:val="16"/>
                <w:szCs w:val="16"/>
                <w:color w:val="auto"/>
              </w:rPr>
              <w:t>These options have an exercise price equal to the average of the</w:t>
            </w:r>
          </w:p>
        </w:tc>
        <w:tc>
          <w:tcPr>
            <w:tcW w:w="620" w:type="dxa"/>
            <w:vAlign w:val="bottom"/>
          </w:tcPr>
          <w:p>
            <w:pPr>
              <w:spacing w:after="0"/>
              <w:rPr>
                <w:sz w:val="17"/>
                <w:szCs w:val="17"/>
                <w:color w:val="auto"/>
              </w:rPr>
            </w:pPr>
          </w:p>
        </w:tc>
        <w:tc>
          <w:tcPr>
            <w:tcW w:w="4460" w:type="dxa"/>
            <w:vAlign w:val="bottom"/>
            <w:gridSpan w:val="3"/>
          </w:tcPr>
          <w:p>
            <w:pPr>
              <w:ind w:left="220"/>
              <w:spacing w:after="0"/>
              <w:rPr>
                <w:sz w:val="20"/>
                <w:szCs w:val="20"/>
                <w:color w:val="auto"/>
              </w:rPr>
            </w:pPr>
            <w:r>
              <w:rPr>
                <w:rFonts w:ascii="Arial" w:cs="Arial" w:eastAsia="Arial" w:hAnsi="Arial"/>
                <w:sz w:val="16"/>
                <w:szCs w:val="16"/>
                <w:color w:val="auto"/>
              </w:rPr>
              <w:t>audited  financial  statements  for  the  fiscal  year</w:t>
            </w:r>
          </w:p>
        </w:tc>
        <w:tc>
          <w:tcPr>
            <w:tcW w:w="620" w:type="dxa"/>
            <w:vAlign w:val="bottom"/>
          </w:tcPr>
          <w:p>
            <w:pPr>
              <w:jc w:val="right"/>
              <w:spacing w:after="0"/>
              <w:rPr>
                <w:sz w:val="20"/>
                <w:szCs w:val="20"/>
                <w:color w:val="auto"/>
              </w:rPr>
            </w:pPr>
            <w:r>
              <w:rPr>
                <w:rFonts w:ascii="Arial" w:cs="Arial" w:eastAsia="Arial" w:hAnsi="Arial"/>
                <w:sz w:val="16"/>
                <w:szCs w:val="16"/>
                <w:color w:val="auto"/>
              </w:rPr>
              <w:t>ended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420" w:type="dxa"/>
            <w:vAlign w:val="bottom"/>
            <w:gridSpan w:val="7"/>
          </w:tcPr>
          <w:p>
            <w:pPr>
              <w:ind w:left="200"/>
              <w:spacing w:after="0"/>
              <w:rPr>
                <w:sz w:val="20"/>
                <w:szCs w:val="20"/>
                <w:color w:val="auto"/>
              </w:rPr>
            </w:pPr>
            <w:r>
              <w:rPr>
                <w:rFonts w:ascii="Arial" w:cs="Arial" w:eastAsia="Arial" w:hAnsi="Arial"/>
                <w:sz w:val="16"/>
                <w:szCs w:val="16"/>
                <w:color w:val="auto"/>
              </w:rPr>
              <w:t>high and low sales price per share of the Company's common</w:t>
            </w:r>
          </w:p>
        </w:tc>
        <w:tc>
          <w:tcPr>
            <w:tcW w:w="620" w:type="dxa"/>
            <w:vAlign w:val="bottom"/>
          </w:tcPr>
          <w:p>
            <w:pPr>
              <w:spacing w:after="0"/>
              <w:rPr>
                <w:sz w:val="16"/>
                <w:szCs w:val="16"/>
                <w:color w:val="auto"/>
              </w:rPr>
            </w:pPr>
          </w:p>
        </w:tc>
        <w:tc>
          <w:tcPr>
            <w:tcW w:w="4460" w:type="dxa"/>
            <w:vAlign w:val="bottom"/>
            <w:gridSpan w:val="3"/>
          </w:tcPr>
          <w:p>
            <w:pPr>
              <w:ind w:left="220"/>
              <w:spacing w:after="0"/>
              <w:rPr>
                <w:sz w:val="20"/>
                <w:szCs w:val="20"/>
                <w:color w:val="auto"/>
              </w:rPr>
            </w:pPr>
            <w:r>
              <w:rPr>
                <w:rFonts w:ascii="Arial" w:cs="Arial" w:eastAsia="Arial" w:hAnsi="Arial"/>
                <w:sz w:val="16"/>
                <w:szCs w:val="16"/>
                <w:color w:val="auto"/>
              </w:rPr>
              <w:t>December 31, 2015 included in the 2015 Annual Report.</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420" w:type="dxa"/>
            <w:vAlign w:val="bottom"/>
            <w:gridSpan w:val="7"/>
          </w:tcPr>
          <w:p>
            <w:pPr>
              <w:ind w:left="200"/>
              <w:spacing w:after="0"/>
              <w:rPr>
                <w:sz w:val="20"/>
                <w:szCs w:val="20"/>
                <w:color w:val="auto"/>
              </w:rPr>
            </w:pPr>
            <w:r>
              <w:rPr>
                <w:rFonts w:ascii="Arial" w:cs="Arial" w:eastAsia="Arial" w:hAnsi="Arial"/>
                <w:sz w:val="16"/>
                <w:szCs w:val="16"/>
                <w:color w:val="auto"/>
              </w:rPr>
              <w:t>stock on the date of grant. Therefore, the closing price of our</w:t>
            </w: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5420" w:type="dxa"/>
            <w:vAlign w:val="bottom"/>
            <w:gridSpan w:val="7"/>
          </w:tcPr>
          <w:p>
            <w:pPr>
              <w:ind w:left="200"/>
              <w:spacing w:after="0"/>
              <w:rPr>
                <w:sz w:val="20"/>
                <w:szCs w:val="20"/>
                <w:color w:val="auto"/>
              </w:rPr>
            </w:pPr>
            <w:r>
              <w:rPr>
                <w:rFonts w:ascii="Arial" w:cs="Arial" w:eastAsia="Arial" w:hAnsi="Arial"/>
                <w:sz w:val="16"/>
                <w:szCs w:val="16"/>
                <w:color w:val="auto"/>
              </w:rPr>
              <w:t>common stock on the grant date may be higher or lower than the</w:t>
            </w: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5668B0"/>
              </w:rPr>
              <w:t>3</w:t>
            </w:r>
          </w:p>
        </w:tc>
        <w:tc>
          <w:tcPr>
            <w:tcW w:w="5080" w:type="dxa"/>
            <w:vAlign w:val="bottom"/>
            <w:gridSpan w:val="4"/>
          </w:tcPr>
          <w:p>
            <w:pPr>
              <w:ind w:left="220"/>
              <w:spacing w:after="0"/>
              <w:rPr>
                <w:sz w:val="20"/>
                <w:szCs w:val="20"/>
                <w:color w:val="auto"/>
              </w:rPr>
            </w:pPr>
            <w:r>
              <w:rPr>
                <w:rFonts w:ascii="Arial" w:cs="Arial" w:eastAsia="Arial" w:hAnsi="Arial"/>
                <w:sz w:val="16"/>
                <w:szCs w:val="16"/>
                <w:color w:val="auto"/>
              </w:rPr>
              <w:t>The Named Officer received a non-qualified stock option award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3100" w:type="dxa"/>
            <w:vAlign w:val="bottom"/>
            <w:gridSpan w:val="4"/>
          </w:tcPr>
          <w:p>
            <w:pPr>
              <w:ind w:left="200"/>
              <w:spacing w:after="0"/>
              <w:rPr>
                <w:sz w:val="20"/>
                <w:szCs w:val="20"/>
                <w:color w:val="auto"/>
              </w:rPr>
            </w:pPr>
            <w:r>
              <w:rPr>
                <w:rFonts w:ascii="Arial" w:cs="Arial" w:eastAsia="Arial" w:hAnsi="Arial"/>
                <w:sz w:val="16"/>
                <w:szCs w:val="16"/>
                <w:color w:val="auto"/>
              </w:rPr>
              <w:t>exercise price of these options.</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80" w:type="dxa"/>
            <w:vAlign w:val="bottom"/>
            <w:gridSpan w:val="4"/>
            <w:vMerge w:val="restart"/>
          </w:tcPr>
          <w:p>
            <w:pPr>
              <w:ind w:left="220"/>
              <w:spacing w:after="0"/>
              <w:rPr>
                <w:sz w:val="20"/>
                <w:szCs w:val="20"/>
                <w:color w:val="auto"/>
              </w:rPr>
            </w:pPr>
            <w:r>
              <w:rPr>
                <w:rFonts w:ascii="Arial" w:cs="Arial" w:eastAsia="Arial" w:hAnsi="Arial"/>
                <w:sz w:val="16"/>
                <w:szCs w:val="16"/>
                <w:color w:val="auto"/>
              </w:rPr>
              <w:t>that vests at a rate of 25% per year over the first four years of the</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5668B0"/>
                <w:w w:val="76"/>
              </w:rPr>
              <w:t>2</w:t>
            </w:r>
          </w:p>
        </w:tc>
        <w:tc>
          <w:tcPr>
            <w:tcW w:w="5420" w:type="dxa"/>
            <w:vAlign w:val="bottom"/>
            <w:gridSpan w:val="7"/>
            <w:vMerge w:val="restart"/>
          </w:tcPr>
          <w:p>
            <w:pPr>
              <w:ind w:left="200"/>
              <w:spacing w:after="0"/>
              <w:rPr>
                <w:sz w:val="20"/>
                <w:szCs w:val="20"/>
                <w:color w:val="auto"/>
              </w:rPr>
            </w:pPr>
            <w:r>
              <w:rPr>
                <w:rFonts w:ascii="Arial" w:cs="Arial" w:eastAsia="Arial" w:hAnsi="Arial"/>
                <w:sz w:val="16"/>
                <w:szCs w:val="16"/>
                <w:color w:val="auto"/>
              </w:rPr>
              <w:t>The amounts in this column represent the grant date fair value of</w:t>
            </w:r>
          </w:p>
        </w:tc>
        <w:tc>
          <w:tcPr>
            <w:tcW w:w="620" w:type="dxa"/>
            <w:vAlign w:val="bottom"/>
          </w:tcPr>
          <w:p>
            <w:pPr>
              <w:spacing w:after="0"/>
              <w:rPr>
                <w:sz w:val="17"/>
                <w:szCs w:val="17"/>
                <w:color w:val="auto"/>
              </w:rPr>
            </w:pPr>
          </w:p>
        </w:tc>
        <w:tc>
          <w:tcPr>
            <w:tcW w:w="4460" w:type="dxa"/>
            <w:vAlign w:val="bottom"/>
            <w:gridSpan w:val="3"/>
          </w:tcPr>
          <w:p>
            <w:pPr>
              <w:ind w:left="220"/>
              <w:spacing w:after="0"/>
              <w:rPr>
                <w:sz w:val="20"/>
                <w:szCs w:val="20"/>
                <w:color w:val="auto"/>
              </w:rPr>
            </w:pPr>
            <w:r>
              <w:rPr>
                <w:rFonts w:ascii="Arial" w:cs="Arial" w:eastAsia="Arial" w:hAnsi="Arial"/>
                <w:sz w:val="16"/>
                <w:szCs w:val="16"/>
                <w:color w:val="auto"/>
              </w:rPr>
              <w:t>ten-year option term.</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00" w:type="dxa"/>
            <w:vAlign w:val="bottom"/>
            <w:vMerge w:val="continue"/>
          </w:tcPr>
          <w:p>
            <w:pPr>
              <w:spacing w:after="0"/>
              <w:rPr>
                <w:sz w:val="12"/>
                <w:szCs w:val="12"/>
                <w:color w:val="auto"/>
              </w:rPr>
            </w:pPr>
          </w:p>
        </w:tc>
        <w:tc>
          <w:tcPr>
            <w:tcW w:w="5420" w:type="dxa"/>
            <w:vAlign w:val="bottom"/>
            <w:gridSpan w:val="7"/>
            <w:vMerge w:val="continue"/>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600" w:type="dxa"/>
            <w:vAlign w:val="bottom"/>
          </w:tcPr>
          <w:p>
            <w:pPr>
              <w:ind w:left="200"/>
              <w:spacing w:after="0"/>
              <w:rPr>
                <w:sz w:val="20"/>
                <w:szCs w:val="20"/>
                <w:color w:val="auto"/>
              </w:rPr>
            </w:pPr>
            <w:r>
              <w:rPr>
                <w:rFonts w:ascii="Arial" w:cs="Arial" w:eastAsia="Arial" w:hAnsi="Arial"/>
                <w:sz w:val="16"/>
                <w:szCs w:val="16"/>
                <w:color w:val="auto"/>
              </w:rPr>
              <w:t>the</w:t>
            </w:r>
          </w:p>
        </w:tc>
        <w:tc>
          <w:tcPr>
            <w:tcW w:w="840" w:type="dxa"/>
            <w:vAlign w:val="bottom"/>
          </w:tcPr>
          <w:p>
            <w:pPr>
              <w:ind w:left="140"/>
              <w:spacing w:after="0"/>
              <w:rPr>
                <w:sz w:val="20"/>
                <w:szCs w:val="20"/>
                <w:color w:val="auto"/>
              </w:rPr>
            </w:pPr>
            <w:r>
              <w:rPr>
                <w:rFonts w:ascii="Arial" w:cs="Arial" w:eastAsia="Arial" w:hAnsi="Arial"/>
                <w:sz w:val="16"/>
                <w:szCs w:val="16"/>
                <w:color w:val="auto"/>
              </w:rPr>
              <w:t>awards</w:t>
            </w:r>
          </w:p>
        </w:tc>
        <w:tc>
          <w:tcPr>
            <w:tcW w:w="860" w:type="dxa"/>
            <w:vAlign w:val="bottom"/>
          </w:tcPr>
          <w:p>
            <w:pPr>
              <w:ind w:left="140"/>
              <w:spacing w:after="0"/>
              <w:rPr>
                <w:sz w:val="20"/>
                <w:szCs w:val="20"/>
                <w:color w:val="auto"/>
              </w:rPr>
            </w:pPr>
            <w:r>
              <w:rPr>
                <w:rFonts w:ascii="Arial" w:cs="Arial" w:eastAsia="Arial" w:hAnsi="Arial"/>
                <w:sz w:val="16"/>
                <w:szCs w:val="16"/>
                <w:color w:val="auto"/>
              </w:rPr>
              <w:t>made</w:t>
            </w:r>
          </w:p>
        </w:tc>
        <w:tc>
          <w:tcPr>
            <w:tcW w:w="800" w:type="dxa"/>
            <w:vAlign w:val="bottom"/>
          </w:tcPr>
          <w:p>
            <w:pPr>
              <w:ind w:left="20"/>
              <w:spacing w:after="0"/>
              <w:rPr>
                <w:sz w:val="20"/>
                <w:szCs w:val="20"/>
                <w:color w:val="auto"/>
              </w:rPr>
            </w:pPr>
            <w:r>
              <w:rPr>
                <w:rFonts w:ascii="Arial" w:cs="Arial" w:eastAsia="Arial" w:hAnsi="Arial"/>
                <w:sz w:val="16"/>
                <w:szCs w:val="16"/>
                <w:color w:val="auto"/>
              </w:rPr>
              <w:t>pursuant</w:t>
            </w:r>
          </w:p>
        </w:tc>
        <w:tc>
          <w:tcPr>
            <w:tcW w:w="460" w:type="dxa"/>
            <w:vAlign w:val="bottom"/>
          </w:tcPr>
          <w:p>
            <w:pPr>
              <w:ind w:left="160"/>
              <w:spacing w:after="0"/>
              <w:rPr>
                <w:sz w:val="20"/>
                <w:szCs w:val="20"/>
                <w:color w:val="auto"/>
              </w:rPr>
            </w:pPr>
            <w:r>
              <w:rPr>
                <w:rFonts w:ascii="Arial" w:cs="Arial" w:eastAsia="Arial" w:hAnsi="Arial"/>
                <w:sz w:val="16"/>
                <w:szCs w:val="16"/>
                <w:color w:val="auto"/>
              </w:rPr>
              <w:t>to</w:t>
            </w:r>
          </w:p>
        </w:tc>
        <w:tc>
          <w:tcPr>
            <w:tcW w:w="620" w:type="dxa"/>
            <w:vAlign w:val="bottom"/>
          </w:tcPr>
          <w:p>
            <w:pPr>
              <w:ind w:left="160"/>
              <w:spacing w:after="0"/>
              <w:rPr>
                <w:sz w:val="20"/>
                <w:szCs w:val="20"/>
                <w:color w:val="auto"/>
              </w:rPr>
            </w:pPr>
            <w:r>
              <w:rPr>
                <w:rFonts w:ascii="Arial" w:cs="Arial" w:eastAsia="Arial" w:hAnsi="Arial"/>
                <w:sz w:val="16"/>
                <w:szCs w:val="16"/>
                <w:color w:val="auto"/>
              </w:rPr>
              <w:t>the</w:t>
            </w:r>
          </w:p>
        </w:tc>
        <w:tc>
          <w:tcPr>
            <w:tcW w:w="1240" w:type="dxa"/>
            <w:vAlign w:val="bottom"/>
          </w:tcPr>
          <w:p>
            <w:pPr>
              <w:ind w:left="80"/>
              <w:spacing w:after="0"/>
              <w:rPr>
                <w:sz w:val="20"/>
                <w:szCs w:val="20"/>
                <w:color w:val="auto"/>
              </w:rPr>
            </w:pPr>
            <w:r>
              <w:rPr>
                <w:rFonts w:ascii="Arial" w:cs="Arial" w:eastAsia="Arial" w:hAnsi="Arial"/>
                <w:sz w:val="16"/>
                <w:szCs w:val="16"/>
                <w:color w:val="auto"/>
              </w:rPr>
              <w:t>Regeneron</w:t>
            </w: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4180" w:type="dxa"/>
            <w:vAlign w:val="bottom"/>
            <w:gridSpan w:val="6"/>
          </w:tcPr>
          <w:p>
            <w:pPr>
              <w:ind w:left="200"/>
              <w:spacing w:after="0"/>
              <w:rPr>
                <w:sz w:val="20"/>
                <w:szCs w:val="20"/>
                <w:color w:val="auto"/>
              </w:rPr>
            </w:pPr>
            <w:r>
              <w:rPr>
                <w:rFonts w:ascii="Arial" w:cs="Arial" w:eastAsia="Arial" w:hAnsi="Arial"/>
                <w:sz w:val="16"/>
                <w:szCs w:val="16"/>
                <w:color w:val="auto"/>
              </w:rPr>
              <w:t>Pharmaceuticals,  Inc.  2014  Long-Term  Incentive</w:t>
            </w:r>
          </w:p>
        </w:tc>
        <w:tc>
          <w:tcPr>
            <w:tcW w:w="1240" w:type="dxa"/>
            <w:vAlign w:val="bottom"/>
          </w:tcPr>
          <w:p>
            <w:pPr>
              <w:ind w:left="80"/>
              <w:spacing w:after="0"/>
              <w:rPr>
                <w:sz w:val="20"/>
                <w:szCs w:val="20"/>
                <w:color w:val="auto"/>
              </w:rPr>
            </w:pPr>
            <w:r>
              <w:rPr>
                <w:rFonts w:ascii="Arial" w:cs="Arial" w:eastAsia="Arial" w:hAnsi="Arial"/>
                <w:sz w:val="16"/>
                <w:szCs w:val="16"/>
                <w:color w:val="auto"/>
              </w:rPr>
              <w:t>Plan.  The</w:t>
            </w: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420" w:type="dxa"/>
            <w:vAlign w:val="bottom"/>
            <w:gridSpan w:val="7"/>
          </w:tcPr>
          <w:p>
            <w:pPr>
              <w:ind w:left="200"/>
              <w:spacing w:after="0"/>
              <w:rPr>
                <w:sz w:val="20"/>
                <w:szCs w:val="20"/>
                <w:color w:val="auto"/>
              </w:rPr>
            </w:pPr>
            <w:r>
              <w:rPr>
                <w:rFonts w:ascii="Arial" w:cs="Arial" w:eastAsia="Arial" w:hAnsi="Arial"/>
                <w:sz w:val="16"/>
                <w:szCs w:val="16"/>
                <w:color w:val="auto"/>
              </w:rPr>
              <w:t>assumptions used in the calculation of these amounts are included</w:t>
            </w: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2300" w:type="dxa"/>
            <w:vAlign w:val="bottom"/>
            <w:gridSpan w:val="3"/>
          </w:tcPr>
          <w:p>
            <w:pPr>
              <w:ind w:left="200"/>
              <w:spacing w:after="0"/>
              <w:rPr>
                <w:sz w:val="20"/>
                <w:szCs w:val="20"/>
                <w:color w:val="auto"/>
              </w:rPr>
            </w:pPr>
            <w:r>
              <w:rPr>
                <w:rFonts w:ascii="Arial" w:cs="Arial" w:eastAsia="Arial" w:hAnsi="Arial"/>
                <w:sz w:val="16"/>
                <w:szCs w:val="16"/>
                <w:color w:val="auto"/>
              </w:rPr>
              <w:t>in Note 14 to the Company's</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2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380" w:type="dxa"/>
            <w:vAlign w:val="bottom"/>
            <w:shd w:val="clear" w:color="auto" w:fill="183394"/>
          </w:tcPr>
          <w:p>
            <w:pPr>
              <w:spacing w:after="0"/>
              <w:rPr>
                <w:sz w:val="24"/>
                <w:szCs w:val="24"/>
                <w:color w:val="auto"/>
              </w:rPr>
            </w:pPr>
          </w:p>
        </w:tc>
        <w:tc>
          <w:tcPr>
            <w:tcW w:w="62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63</w:t>
            </w:r>
          </w:p>
        </w:tc>
        <w:tc>
          <w:tcPr>
            <w:tcW w:w="0" w:type="dxa"/>
            <w:vAlign w:val="bottom"/>
          </w:tcPr>
          <w:p>
            <w:pPr>
              <w:spacing w:after="0"/>
              <w:rPr>
                <w:sz w:val="1"/>
                <w:szCs w:val="1"/>
                <w:color w:val="auto"/>
              </w:rPr>
            </w:pPr>
          </w:p>
        </w:tc>
      </w:tr>
      <w:tr>
        <w:trPr>
          <w:trHeight w:val="110"/>
        </w:trPr>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4561FF"/>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regarding unexercised stock options and unvested restricted stock awards held by our Named Officers as of December 31, 2015.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310"/>
        </w:trPr>
        <w:tc>
          <w:tcPr>
            <w:tcW w:w="990" w:type="dxa"/>
            <w:vAlign w:val="bottom"/>
            <w:shd w:val="clear" w:color="auto" w:fill="5668B0"/>
          </w:tcPr>
          <w:p>
            <w:pPr>
              <w:spacing w:after="0"/>
              <w:rPr>
                <w:sz w:val="24"/>
                <w:szCs w:val="24"/>
                <w:color w:val="auto"/>
              </w:rPr>
            </w:pPr>
          </w:p>
        </w:tc>
        <w:tc>
          <w:tcPr>
            <w:tcW w:w="950" w:type="dxa"/>
            <w:vAlign w:val="bottom"/>
            <w:shd w:val="clear" w:color="auto" w:fill="5668B0"/>
          </w:tcPr>
          <w:p>
            <w:pPr>
              <w:spacing w:after="0"/>
              <w:rPr>
                <w:sz w:val="24"/>
                <w:szCs w:val="24"/>
                <w:color w:val="auto"/>
              </w:rPr>
            </w:pPr>
          </w:p>
        </w:tc>
        <w:tc>
          <w:tcPr>
            <w:tcW w:w="1940" w:type="dxa"/>
            <w:vAlign w:val="bottom"/>
            <w:gridSpan w:val="2"/>
            <w:shd w:val="clear" w:color="auto" w:fill="5668B0"/>
          </w:tcPr>
          <w:p>
            <w:pPr>
              <w:jc w:val="right"/>
              <w:ind w:right="173"/>
              <w:spacing w:after="0"/>
              <w:rPr>
                <w:sz w:val="20"/>
                <w:szCs w:val="20"/>
                <w:color w:val="auto"/>
              </w:rPr>
            </w:pPr>
            <w:r>
              <w:rPr>
                <w:rFonts w:ascii="Arial" w:cs="Arial" w:eastAsia="Arial" w:hAnsi="Arial"/>
                <w:sz w:val="13"/>
                <w:szCs w:val="13"/>
                <w:color w:val="FFFFFE"/>
              </w:rPr>
              <w:t>Option Awards</w:t>
            </w:r>
          </w:p>
        </w:tc>
        <w:tc>
          <w:tcPr>
            <w:tcW w:w="700" w:type="dxa"/>
            <w:vAlign w:val="bottom"/>
            <w:shd w:val="clear" w:color="auto" w:fill="5668B0"/>
          </w:tcPr>
          <w:p>
            <w:pPr>
              <w:spacing w:after="0"/>
              <w:rPr>
                <w:sz w:val="24"/>
                <w:szCs w:val="24"/>
                <w:color w:val="auto"/>
              </w:rPr>
            </w:pPr>
          </w:p>
        </w:tc>
        <w:tc>
          <w:tcPr>
            <w:tcW w:w="860" w:type="dxa"/>
            <w:vAlign w:val="bottom"/>
            <w:shd w:val="clear" w:color="auto" w:fill="5668B0"/>
          </w:tcPr>
          <w:p>
            <w:pPr>
              <w:spacing w:after="0"/>
              <w:rPr>
                <w:sz w:val="24"/>
                <w:szCs w:val="24"/>
                <w:color w:val="auto"/>
              </w:rPr>
            </w:pPr>
          </w:p>
        </w:tc>
        <w:tc>
          <w:tcPr>
            <w:tcW w:w="700" w:type="dxa"/>
            <w:vAlign w:val="bottom"/>
            <w:shd w:val="clear" w:color="auto" w:fill="5668B0"/>
          </w:tcPr>
          <w:p>
            <w:pPr>
              <w:spacing w:after="0"/>
              <w:rPr>
                <w:sz w:val="24"/>
                <w:szCs w:val="24"/>
                <w:color w:val="auto"/>
              </w:rPr>
            </w:pPr>
          </w:p>
        </w:tc>
        <w:tc>
          <w:tcPr>
            <w:tcW w:w="1640" w:type="dxa"/>
            <w:vAlign w:val="bottom"/>
            <w:gridSpan w:val="2"/>
            <w:shd w:val="clear" w:color="auto" w:fill="5668B0"/>
          </w:tcPr>
          <w:p>
            <w:pPr>
              <w:jc w:val="right"/>
              <w:ind w:right="333"/>
              <w:spacing w:after="0"/>
              <w:rPr>
                <w:sz w:val="20"/>
                <w:szCs w:val="20"/>
                <w:color w:val="auto"/>
              </w:rPr>
            </w:pPr>
            <w:r>
              <w:rPr>
                <w:rFonts w:ascii="Arial" w:cs="Arial" w:eastAsia="Arial" w:hAnsi="Arial"/>
                <w:sz w:val="13"/>
                <w:szCs w:val="13"/>
                <w:color w:val="FFFFFE"/>
              </w:rPr>
              <w:t>Stock Awards</w:t>
            </w:r>
          </w:p>
        </w:tc>
        <w:tc>
          <w:tcPr>
            <w:tcW w:w="660" w:type="dxa"/>
            <w:vAlign w:val="bottom"/>
            <w:shd w:val="clear" w:color="auto" w:fill="5668B0"/>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90" w:type="dxa"/>
            <w:vAlign w:val="bottom"/>
            <w:shd w:val="clear" w:color="auto" w:fill="5668B0"/>
          </w:tcPr>
          <w:p>
            <w:pPr>
              <w:spacing w:after="0"/>
              <w:rPr>
                <w:sz w:val="14"/>
                <w:szCs w:val="14"/>
                <w:color w:val="auto"/>
              </w:rPr>
            </w:pPr>
          </w:p>
        </w:tc>
        <w:tc>
          <w:tcPr>
            <w:tcW w:w="950" w:type="dxa"/>
            <w:vAlign w:val="bottom"/>
            <w:shd w:val="clear" w:color="auto" w:fill="5668B0"/>
          </w:tcPr>
          <w:p>
            <w:pPr>
              <w:spacing w:after="0"/>
              <w:rPr>
                <w:sz w:val="14"/>
                <w:szCs w:val="14"/>
                <w:color w:val="auto"/>
              </w:rPr>
            </w:pPr>
          </w:p>
        </w:tc>
        <w:tc>
          <w:tcPr>
            <w:tcW w:w="1020" w:type="dxa"/>
            <w:vAlign w:val="bottom"/>
            <w:shd w:val="clear" w:color="auto" w:fill="5668B0"/>
          </w:tcPr>
          <w:p>
            <w:pPr>
              <w:spacing w:after="0"/>
              <w:rPr>
                <w:sz w:val="14"/>
                <w:szCs w:val="14"/>
                <w:color w:val="auto"/>
              </w:rPr>
            </w:pPr>
          </w:p>
        </w:tc>
        <w:tc>
          <w:tcPr>
            <w:tcW w:w="920" w:type="dxa"/>
            <w:vAlign w:val="bottom"/>
            <w:shd w:val="clear" w:color="auto" w:fill="5668B0"/>
          </w:tcPr>
          <w:p>
            <w:pPr>
              <w:spacing w:after="0"/>
              <w:rPr>
                <w:sz w:val="14"/>
                <w:szCs w:val="14"/>
                <w:color w:val="auto"/>
              </w:rPr>
            </w:pPr>
          </w:p>
        </w:tc>
        <w:tc>
          <w:tcPr>
            <w:tcW w:w="700" w:type="dxa"/>
            <w:vAlign w:val="bottom"/>
            <w:shd w:val="clear" w:color="auto" w:fill="5668B0"/>
          </w:tcPr>
          <w:p>
            <w:pPr>
              <w:spacing w:after="0"/>
              <w:rPr>
                <w:sz w:val="14"/>
                <w:szCs w:val="14"/>
                <w:color w:val="auto"/>
              </w:rPr>
            </w:pPr>
          </w:p>
        </w:tc>
        <w:tc>
          <w:tcPr>
            <w:tcW w:w="860" w:type="dxa"/>
            <w:vAlign w:val="bottom"/>
            <w:shd w:val="clear" w:color="auto" w:fill="5668B0"/>
          </w:tcPr>
          <w:p>
            <w:pPr>
              <w:spacing w:after="0"/>
              <w:rPr>
                <w:sz w:val="14"/>
                <w:szCs w:val="14"/>
                <w:color w:val="auto"/>
              </w:rPr>
            </w:pPr>
          </w:p>
        </w:tc>
        <w:tc>
          <w:tcPr>
            <w:tcW w:w="700" w:type="dxa"/>
            <w:vAlign w:val="bottom"/>
            <w:shd w:val="clear" w:color="auto" w:fill="5668B0"/>
          </w:tcPr>
          <w:p>
            <w:pPr>
              <w:spacing w:after="0"/>
              <w:rPr>
                <w:sz w:val="14"/>
                <w:szCs w:val="14"/>
                <w:color w:val="auto"/>
              </w:rPr>
            </w:pPr>
          </w:p>
        </w:tc>
        <w:tc>
          <w:tcPr>
            <w:tcW w:w="860" w:type="dxa"/>
            <w:vAlign w:val="bottom"/>
            <w:shd w:val="clear" w:color="auto" w:fill="5668B0"/>
          </w:tcPr>
          <w:p>
            <w:pPr>
              <w:spacing w:after="0"/>
              <w:rPr>
                <w:sz w:val="14"/>
                <w:szCs w:val="14"/>
                <w:color w:val="auto"/>
              </w:rPr>
            </w:pPr>
          </w:p>
        </w:tc>
        <w:tc>
          <w:tcPr>
            <w:tcW w:w="780" w:type="dxa"/>
            <w:vAlign w:val="bottom"/>
            <w:shd w:val="clear" w:color="auto" w:fill="5668B0"/>
          </w:tcPr>
          <w:p>
            <w:pPr>
              <w:spacing w:after="0"/>
              <w:rPr>
                <w:sz w:val="14"/>
                <w:szCs w:val="14"/>
                <w:color w:val="auto"/>
              </w:rPr>
            </w:pP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Equity</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Equity</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incentive</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incentive</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plan</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plan</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awards:</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awards:</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market or</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Number</w:t>
            </w:r>
          </w:p>
        </w:tc>
        <w:tc>
          <w:tcPr>
            <w:tcW w:w="860" w:type="dxa"/>
            <w:vAlign w:val="bottom"/>
            <w:shd w:val="clear" w:color="auto" w:fill="5668B0"/>
          </w:tcPr>
          <w:p>
            <w:pPr>
              <w:spacing w:after="0"/>
              <w:rPr>
                <w:sz w:val="13"/>
                <w:szCs w:val="13"/>
                <w:color w:val="auto"/>
              </w:rPr>
            </w:pP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number</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payout</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2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Equity</w:t>
            </w: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of</w:t>
            </w:r>
          </w:p>
        </w:tc>
        <w:tc>
          <w:tcPr>
            <w:tcW w:w="860" w:type="dxa"/>
            <w:vAlign w:val="bottom"/>
            <w:shd w:val="clear" w:color="auto" w:fill="5668B0"/>
          </w:tcPr>
          <w:p>
            <w:pPr>
              <w:spacing w:after="0"/>
              <w:rPr>
                <w:sz w:val="13"/>
                <w:szCs w:val="13"/>
                <w:color w:val="auto"/>
              </w:rPr>
            </w:pP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of</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value of</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2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incentive</w:t>
            </w: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shares</w:t>
            </w:r>
          </w:p>
        </w:tc>
        <w:tc>
          <w:tcPr>
            <w:tcW w:w="860" w:type="dxa"/>
            <w:vAlign w:val="bottom"/>
            <w:shd w:val="clear" w:color="auto" w:fill="5668B0"/>
          </w:tcPr>
          <w:p>
            <w:pPr>
              <w:spacing w:after="0"/>
              <w:rPr>
                <w:sz w:val="13"/>
                <w:szCs w:val="13"/>
                <w:color w:val="auto"/>
              </w:rPr>
            </w:pP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unearned</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unearned</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2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plan</w:t>
            </w: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or</w:t>
            </w:r>
          </w:p>
        </w:tc>
        <w:tc>
          <w:tcPr>
            <w:tcW w:w="860" w:type="dxa"/>
            <w:vAlign w:val="bottom"/>
            <w:vMerge w:val="restart"/>
            <w:shd w:val="clear" w:color="auto" w:fill="5668B0"/>
          </w:tcPr>
          <w:p>
            <w:pPr>
              <w:jc w:val="right"/>
              <w:ind w:right="33"/>
              <w:spacing w:after="0"/>
              <w:rPr>
                <w:sz w:val="20"/>
                <w:szCs w:val="20"/>
                <w:color w:val="auto"/>
              </w:rPr>
            </w:pPr>
            <w:r>
              <w:rPr>
                <w:rFonts w:ascii="Arial" w:cs="Arial" w:eastAsia="Arial" w:hAnsi="Arial"/>
                <w:sz w:val="13"/>
                <w:szCs w:val="13"/>
                <w:color w:val="FFFFFE"/>
              </w:rPr>
              <w:t>Market</w:t>
            </w: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shares,</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shares,</w:t>
            </w:r>
          </w:p>
        </w:tc>
        <w:tc>
          <w:tcPr>
            <w:tcW w:w="0" w:type="dxa"/>
            <w:vAlign w:val="bottom"/>
          </w:tcPr>
          <w:p>
            <w:pPr>
              <w:spacing w:after="0"/>
              <w:rPr>
                <w:sz w:val="1"/>
                <w:szCs w:val="1"/>
                <w:color w:val="auto"/>
              </w:rPr>
            </w:pPr>
          </w:p>
        </w:tc>
      </w:tr>
      <w:tr>
        <w:trPr>
          <w:trHeight w:val="127"/>
        </w:trPr>
        <w:tc>
          <w:tcPr>
            <w:tcW w:w="990" w:type="dxa"/>
            <w:vAlign w:val="bottom"/>
            <w:shd w:val="clear" w:color="auto" w:fill="5668B0"/>
          </w:tcPr>
          <w:p>
            <w:pPr>
              <w:spacing w:after="0"/>
              <w:rPr>
                <w:sz w:val="11"/>
                <w:szCs w:val="11"/>
                <w:color w:val="auto"/>
              </w:rPr>
            </w:pPr>
          </w:p>
        </w:tc>
        <w:tc>
          <w:tcPr>
            <w:tcW w:w="950" w:type="dxa"/>
            <w:vAlign w:val="bottom"/>
            <w:shd w:val="clear" w:color="auto" w:fill="5668B0"/>
          </w:tcPr>
          <w:p>
            <w:pPr>
              <w:spacing w:after="0"/>
              <w:rPr>
                <w:sz w:val="11"/>
                <w:szCs w:val="11"/>
                <w:color w:val="auto"/>
              </w:rPr>
            </w:pPr>
          </w:p>
        </w:tc>
        <w:tc>
          <w:tcPr>
            <w:tcW w:w="1020" w:type="dxa"/>
            <w:vAlign w:val="bottom"/>
            <w:shd w:val="clear" w:color="auto" w:fill="5668B0"/>
          </w:tcPr>
          <w:p>
            <w:pPr>
              <w:spacing w:after="0"/>
              <w:rPr>
                <w:sz w:val="11"/>
                <w:szCs w:val="11"/>
                <w:color w:val="auto"/>
              </w:rPr>
            </w:pPr>
          </w:p>
        </w:tc>
        <w:tc>
          <w:tcPr>
            <w:tcW w:w="920" w:type="dxa"/>
            <w:vAlign w:val="bottom"/>
            <w:shd w:val="clear" w:color="auto" w:fill="5668B0"/>
          </w:tcPr>
          <w:p>
            <w:pPr>
              <w:jc w:val="right"/>
              <w:ind w:right="73"/>
              <w:spacing w:after="0" w:line="127" w:lineRule="exact"/>
              <w:rPr>
                <w:sz w:val="20"/>
                <w:szCs w:val="20"/>
                <w:color w:val="auto"/>
              </w:rPr>
            </w:pPr>
            <w:r>
              <w:rPr>
                <w:rFonts w:ascii="Arial" w:cs="Arial" w:eastAsia="Arial" w:hAnsi="Arial"/>
                <w:sz w:val="13"/>
                <w:szCs w:val="13"/>
                <w:color w:val="FFFFFE"/>
              </w:rPr>
              <w:t>awards:</w:t>
            </w:r>
          </w:p>
        </w:tc>
        <w:tc>
          <w:tcPr>
            <w:tcW w:w="700" w:type="dxa"/>
            <w:vAlign w:val="bottom"/>
            <w:shd w:val="clear" w:color="auto" w:fill="5668B0"/>
          </w:tcPr>
          <w:p>
            <w:pPr>
              <w:spacing w:after="0"/>
              <w:rPr>
                <w:sz w:val="11"/>
                <w:szCs w:val="11"/>
                <w:color w:val="auto"/>
              </w:rPr>
            </w:pPr>
          </w:p>
        </w:tc>
        <w:tc>
          <w:tcPr>
            <w:tcW w:w="860" w:type="dxa"/>
            <w:vAlign w:val="bottom"/>
            <w:shd w:val="clear" w:color="auto" w:fill="5668B0"/>
          </w:tcPr>
          <w:p>
            <w:pPr>
              <w:spacing w:after="0"/>
              <w:rPr>
                <w:sz w:val="11"/>
                <w:szCs w:val="11"/>
                <w:color w:val="auto"/>
              </w:rPr>
            </w:pPr>
          </w:p>
        </w:tc>
        <w:tc>
          <w:tcPr>
            <w:tcW w:w="700" w:type="dxa"/>
            <w:vAlign w:val="bottom"/>
            <w:shd w:val="clear" w:color="auto" w:fill="5668B0"/>
          </w:tcPr>
          <w:p>
            <w:pPr>
              <w:jc w:val="right"/>
              <w:ind w:right="73"/>
              <w:spacing w:after="0" w:line="127" w:lineRule="exact"/>
              <w:rPr>
                <w:sz w:val="20"/>
                <w:szCs w:val="20"/>
                <w:color w:val="auto"/>
              </w:rPr>
            </w:pPr>
            <w:r>
              <w:rPr>
                <w:rFonts w:ascii="Arial" w:cs="Arial" w:eastAsia="Arial" w:hAnsi="Arial"/>
                <w:sz w:val="13"/>
                <w:szCs w:val="13"/>
                <w:color w:val="FFFFFE"/>
              </w:rPr>
              <w:t>units of</w:t>
            </w:r>
          </w:p>
        </w:tc>
        <w:tc>
          <w:tcPr>
            <w:tcW w:w="860" w:type="dxa"/>
            <w:vAlign w:val="bottom"/>
            <w:vMerge w:val="continue"/>
            <w:shd w:val="clear" w:color="auto" w:fill="5668B0"/>
          </w:tcPr>
          <w:p>
            <w:pPr>
              <w:spacing w:after="0"/>
              <w:rPr>
                <w:sz w:val="11"/>
                <w:szCs w:val="11"/>
                <w:color w:val="auto"/>
              </w:rPr>
            </w:pPr>
          </w:p>
        </w:tc>
        <w:tc>
          <w:tcPr>
            <w:tcW w:w="780" w:type="dxa"/>
            <w:vAlign w:val="bottom"/>
            <w:shd w:val="clear" w:color="auto" w:fill="5668B0"/>
          </w:tcPr>
          <w:p>
            <w:pPr>
              <w:jc w:val="right"/>
              <w:ind w:right="53"/>
              <w:spacing w:after="0" w:line="127" w:lineRule="exact"/>
              <w:rPr>
                <w:sz w:val="20"/>
                <w:szCs w:val="20"/>
                <w:color w:val="auto"/>
              </w:rPr>
            </w:pPr>
            <w:r>
              <w:rPr>
                <w:rFonts w:ascii="Arial" w:cs="Arial" w:eastAsia="Arial" w:hAnsi="Arial"/>
                <w:sz w:val="13"/>
                <w:szCs w:val="13"/>
                <w:color w:val="FFFFFE"/>
              </w:rPr>
              <w:t>units</w:t>
            </w:r>
          </w:p>
        </w:tc>
        <w:tc>
          <w:tcPr>
            <w:tcW w:w="660" w:type="dxa"/>
            <w:vAlign w:val="bottom"/>
            <w:shd w:val="clear" w:color="auto" w:fill="5668B0"/>
          </w:tcPr>
          <w:p>
            <w:pPr>
              <w:jc w:val="right"/>
              <w:spacing w:after="0" w:line="127" w:lineRule="exact"/>
              <w:rPr>
                <w:sz w:val="20"/>
                <w:szCs w:val="20"/>
                <w:color w:val="auto"/>
              </w:rPr>
            </w:pPr>
            <w:r>
              <w:rPr>
                <w:rFonts w:ascii="Arial" w:cs="Arial" w:eastAsia="Arial" w:hAnsi="Arial"/>
                <w:sz w:val="13"/>
                <w:szCs w:val="13"/>
                <w:color w:val="FFFFFE"/>
              </w:rPr>
              <w:t>units</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Number of</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Number of</w:t>
            </w:r>
          </w:p>
        </w:tc>
        <w:tc>
          <w:tcPr>
            <w:tcW w:w="92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number of</w:t>
            </w: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stock</w:t>
            </w:r>
          </w:p>
        </w:tc>
        <w:tc>
          <w:tcPr>
            <w:tcW w:w="86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value of</w:t>
            </w: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or other</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or other</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securities</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securities</w:t>
            </w:r>
          </w:p>
        </w:tc>
        <w:tc>
          <w:tcPr>
            <w:tcW w:w="92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securities</w:t>
            </w: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that</w:t>
            </w:r>
          </w:p>
        </w:tc>
        <w:tc>
          <w:tcPr>
            <w:tcW w:w="86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shares or</w:t>
            </w: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rights</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rights</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underlying</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underlying</w:t>
            </w:r>
          </w:p>
        </w:tc>
        <w:tc>
          <w:tcPr>
            <w:tcW w:w="92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underlying</w:t>
            </w:r>
          </w:p>
        </w:tc>
        <w:tc>
          <w:tcPr>
            <w:tcW w:w="70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have</w:t>
            </w:r>
          </w:p>
        </w:tc>
        <w:tc>
          <w:tcPr>
            <w:tcW w:w="86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units of</w:t>
            </w: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that</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that</w:t>
            </w:r>
          </w:p>
        </w:tc>
        <w:tc>
          <w:tcPr>
            <w:tcW w:w="0" w:type="dxa"/>
            <w:vAlign w:val="bottom"/>
          </w:tcPr>
          <w:p>
            <w:pPr>
              <w:spacing w:after="0"/>
              <w:rPr>
                <w:sz w:val="1"/>
                <w:szCs w:val="1"/>
                <w:color w:val="auto"/>
              </w:rPr>
            </w:pPr>
          </w:p>
        </w:tc>
      </w:tr>
      <w:tr>
        <w:trPr>
          <w:trHeight w:val="152"/>
        </w:trPr>
        <w:tc>
          <w:tcPr>
            <w:tcW w:w="990" w:type="dxa"/>
            <w:vAlign w:val="bottom"/>
            <w:shd w:val="clear" w:color="auto" w:fill="5668B0"/>
          </w:tcPr>
          <w:p>
            <w:pPr>
              <w:spacing w:after="0"/>
              <w:rPr>
                <w:sz w:val="13"/>
                <w:szCs w:val="13"/>
                <w:color w:val="auto"/>
              </w:rPr>
            </w:pPr>
          </w:p>
        </w:tc>
        <w:tc>
          <w:tcPr>
            <w:tcW w:w="95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unexercised</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unexercised</w:t>
            </w:r>
          </w:p>
        </w:tc>
        <w:tc>
          <w:tcPr>
            <w:tcW w:w="92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unexercised</w:t>
            </w: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Option</w:t>
            </w:r>
          </w:p>
        </w:tc>
        <w:tc>
          <w:tcPr>
            <w:tcW w:w="86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Option</w:t>
            </w: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not</w:t>
            </w:r>
          </w:p>
        </w:tc>
        <w:tc>
          <w:tcPr>
            <w:tcW w:w="86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stock that</w:t>
            </w: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have not</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have not</w:t>
            </w:r>
          </w:p>
        </w:tc>
        <w:tc>
          <w:tcPr>
            <w:tcW w:w="0" w:type="dxa"/>
            <w:vAlign w:val="bottom"/>
          </w:tcPr>
          <w:p>
            <w:pPr>
              <w:spacing w:after="0"/>
              <w:rPr>
                <w:sz w:val="1"/>
                <w:szCs w:val="1"/>
                <w:color w:val="auto"/>
              </w:rPr>
            </w:pPr>
          </w:p>
        </w:tc>
      </w:tr>
      <w:tr>
        <w:trPr>
          <w:trHeight w:val="147"/>
        </w:trPr>
        <w:tc>
          <w:tcPr>
            <w:tcW w:w="990" w:type="dxa"/>
            <w:vAlign w:val="bottom"/>
            <w:shd w:val="clear" w:color="auto" w:fill="5668B0"/>
          </w:tcPr>
          <w:p>
            <w:pPr>
              <w:spacing w:after="0"/>
              <w:rPr>
                <w:sz w:val="12"/>
                <w:szCs w:val="12"/>
                <w:color w:val="auto"/>
              </w:rPr>
            </w:pPr>
          </w:p>
        </w:tc>
        <w:tc>
          <w:tcPr>
            <w:tcW w:w="95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options (#)</w:t>
            </w:r>
          </w:p>
        </w:tc>
        <w:tc>
          <w:tcPr>
            <w:tcW w:w="1020" w:type="dxa"/>
            <w:vAlign w:val="bottom"/>
            <w:shd w:val="clear" w:color="auto" w:fill="5668B0"/>
          </w:tcPr>
          <w:p>
            <w:pPr>
              <w:jc w:val="right"/>
              <w:ind w:right="74"/>
              <w:spacing w:after="0" w:line="148" w:lineRule="exact"/>
              <w:rPr>
                <w:sz w:val="20"/>
                <w:szCs w:val="20"/>
                <w:color w:val="auto"/>
              </w:rPr>
            </w:pPr>
            <w:r>
              <w:rPr>
                <w:rFonts w:ascii="Arial" w:cs="Arial" w:eastAsia="Arial" w:hAnsi="Arial"/>
                <w:sz w:val="13"/>
                <w:szCs w:val="13"/>
                <w:color w:val="FFFFFE"/>
              </w:rPr>
              <w:t>options (#)</w:t>
            </w:r>
          </w:p>
        </w:tc>
        <w:tc>
          <w:tcPr>
            <w:tcW w:w="920" w:type="dxa"/>
            <w:vAlign w:val="bottom"/>
            <w:shd w:val="clear" w:color="auto" w:fill="5668B0"/>
          </w:tcPr>
          <w:p>
            <w:pPr>
              <w:jc w:val="right"/>
              <w:ind w:right="73"/>
              <w:spacing w:after="0" w:line="148" w:lineRule="exact"/>
              <w:rPr>
                <w:sz w:val="20"/>
                <w:szCs w:val="20"/>
                <w:color w:val="auto"/>
              </w:rPr>
            </w:pPr>
            <w:r>
              <w:rPr>
                <w:rFonts w:ascii="Arial" w:cs="Arial" w:eastAsia="Arial" w:hAnsi="Arial"/>
                <w:sz w:val="13"/>
                <w:szCs w:val="13"/>
                <w:color w:val="FFFFFE"/>
              </w:rPr>
              <w:t>unearned</w:t>
            </w:r>
          </w:p>
        </w:tc>
        <w:tc>
          <w:tcPr>
            <w:tcW w:w="700" w:type="dxa"/>
            <w:vAlign w:val="bottom"/>
            <w:shd w:val="clear" w:color="auto" w:fill="5668B0"/>
          </w:tcPr>
          <w:p>
            <w:pPr>
              <w:jc w:val="right"/>
              <w:ind w:right="73"/>
              <w:spacing w:after="0" w:line="148" w:lineRule="exact"/>
              <w:rPr>
                <w:sz w:val="20"/>
                <w:szCs w:val="20"/>
                <w:color w:val="auto"/>
              </w:rPr>
            </w:pPr>
            <w:r>
              <w:rPr>
                <w:rFonts w:ascii="Arial" w:cs="Arial" w:eastAsia="Arial" w:hAnsi="Arial"/>
                <w:sz w:val="13"/>
                <w:szCs w:val="13"/>
                <w:color w:val="FFFFFE"/>
              </w:rPr>
              <w:t>exercise</w:t>
            </w:r>
          </w:p>
        </w:tc>
        <w:tc>
          <w:tcPr>
            <w:tcW w:w="860" w:type="dxa"/>
            <w:vAlign w:val="bottom"/>
            <w:shd w:val="clear" w:color="auto" w:fill="5668B0"/>
          </w:tcPr>
          <w:p>
            <w:pPr>
              <w:jc w:val="right"/>
              <w:ind w:right="73"/>
              <w:spacing w:after="0" w:line="148" w:lineRule="exact"/>
              <w:rPr>
                <w:sz w:val="20"/>
                <w:szCs w:val="20"/>
                <w:color w:val="auto"/>
              </w:rPr>
            </w:pPr>
            <w:r>
              <w:rPr>
                <w:rFonts w:ascii="Arial" w:cs="Arial" w:eastAsia="Arial" w:hAnsi="Arial"/>
                <w:sz w:val="13"/>
                <w:szCs w:val="13"/>
                <w:color w:val="FFFFFE"/>
              </w:rPr>
              <w:t>expiration</w:t>
            </w:r>
          </w:p>
        </w:tc>
        <w:tc>
          <w:tcPr>
            <w:tcW w:w="700" w:type="dxa"/>
            <w:vAlign w:val="bottom"/>
            <w:shd w:val="clear" w:color="auto" w:fill="5668B0"/>
          </w:tcPr>
          <w:p>
            <w:pPr>
              <w:jc w:val="right"/>
              <w:ind w:right="73"/>
              <w:spacing w:after="0" w:line="148" w:lineRule="exact"/>
              <w:rPr>
                <w:sz w:val="20"/>
                <w:szCs w:val="20"/>
                <w:color w:val="auto"/>
              </w:rPr>
            </w:pPr>
            <w:r>
              <w:rPr>
                <w:rFonts w:ascii="Arial" w:cs="Arial" w:eastAsia="Arial" w:hAnsi="Arial"/>
                <w:sz w:val="13"/>
                <w:szCs w:val="13"/>
                <w:color w:val="FFFFFE"/>
              </w:rPr>
              <w:t>vested</w:t>
            </w:r>
          </w:p>
        </w:tc>
        <w:tc>
          <w:tcPr>
            <w:tcW w:w="86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have not</w:t>
            </w:r>
          </w:p>
        </w:tc>
        <w:tc>
          <w:tcPr>
            <w:tcW w:w="78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vested</w:t>
            </w:r>
          </w:p>
        </w:tc>
        <w:tc>
          <w:tcPr>
            <w:tcW w:w="66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vested</w:t>
            </w:r>
          </w:p>
        </w:tc>
        <w:tc>
          <w:tcPr>
            <w:tcW w:w="0" w:type="dxa"/>
            <w:vAlign w:val="bottom"/>
          </w:tcPr>
          <w:p>
            <w:pPr>
              <w:spacing w:after="0"/>
              <w:rPr>
                <w:sz w:val="1"/>
                <w:szCs w:val="1"/>
                <w:color w:val="auto"/>
              </w:rPr>
            </w:pPr>
          </w:p>
        </w:tc>
      </w:tr>
      <w:tr>
        <w:trPr>
          <w:trHeight w:val="182"/>
        </w:trPr>
        <w:tc>
          <w:tcPr>
            <w:tcW w:w="990" w:type="dxa"/>
            <w:vAlign w:val="bottom"/>
            <w:shd w:val="clear" w:color="auto" w:fill="5668B0"/>
          </w:tcPr>
          <w:p>
            <w:pPr>
              <w:ind w:left="20"/>
              <w:spacing w:after="0"/>
              <w:rPr>
                <w:sz w:val="20"/>
                <w:szCs w:val="20"/>
                <w:color w:val="auto"/>
              </w:rPr>
            </w:pPr>
            <w:r>
              <w:rPr>
                <w:rFonts w:ascii="Arial" w:cs="Arial" w:eastAsia="Arial" w:hAnsi="Arial"/>
                <w:sz w:val="13"/>
                <w:szCs w:val="13"/>
                <w:color w:val="FFFFFE"/>
              </w:rPr>
              <w:t>Name</w:t>
            </w:r>
          </w:p>
        </w:tc>
        <w:tc>
          <w:tcPr>
            <w:tcW w:w="95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exercisable</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unexercisable</w:t>
            </w:r>
          </w:p>
        </w:tc>
        <w:tc>
          <w:tcPr>
            <w:tcW w:w="92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options (#)</w:t>
            </w: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price ($)</w:t>
            </w:r>
          </w:p>
        </w:tc>
        <w:tc>
          <w:tcPr>
            <w:tcW w:w="86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date</w:t>
            </w:r>
          </w:p>
        </w:tc>
        <w:tc>
          <w:tcPr>
            <w:tcW w:w="700" w:type="dxa"/>
            <w:vAlign w:val="bottom"/>
            <w:shd w:val="clear" w:color="auto" w:fill="5668B0"/>
          </w:tcPr>
          <w:p>
            <w:pPr>
              <w:jc w:val="right"/>
              <w:ind w:right="73"/>
              <w:spacing w:after="0"/>
              <w:rPr>
                <w:sz w:val="20"/>
                <w:szCs w:val="20"/>
                <w:color w:val="auto"/>
              </w:rPr>
            </w:pPr>
            <w:r>
              <w:rPr>
                <w:rFonts w:ascii="Arial" w:cs="Arial" w:eastAsia="Arial" w:hAnsi="Arial"/>
                <w:sz w:val="13"/>
                <w:szCs w:val="13"/>
                <w:color w:val="FFFFFE"/>
              </w:rPr>
              <w:t>(#)</w:t>
            </w:r>
          </w:p>
        </w:tc>
        <w:tc>
          <w:tcPr>
            <w:tcW w:w="860" w:type="dxa"/>
            <w:vAlign w:val="bottom"/>
            <w:shd w:val="clear" w:color="auto" w:fill="5668B0"/>
          </w:tcPr>
          <w:p>
            <w:pPr>
              <w:jc w:val="right"/>
              <w:ind w:right="33"/>
              <w:spacing w:after="0" w:line="182" w:lineRule="exact"/>
              <w:rPr>
                <w:sz w:val="20"/>
                <w:szCs w:val="20"/>
                <w:color w:val="auto"/>
              </w:rPr>
            </w:pPr>
            <w:r>
              <w:rPr>
                <w:rFonts w:ascii="Arial" w:cs="Arial" w:eastAsia="Arial" w:hAnsi="Arial"/>
                <w:sz w:val="13"/>
                <w:szCs w:val="13"/>
                <w:color w:val="FFFFFE"/>
              </w:rPr>
              <w:t>vested ($)</w:t>
            </w:r>
            <w:r>
              <w:rPr>
                <w:rFonts w:ascii="Arial" w:cs="Arial" w:eastAsia="Arial" w:hAnsi="Arial"/>
                <w:sz w:val="20"/>
                <w:szCs w:val="20"/>
                <w:color w:val="FFFFFE"/>
                <w:vertAlign w:val="superscript"/>
              </w:rPr>
              <w:t>5</w:t>
            </w:r>
          </w:p>
        </w:tc>
        <w:tc>
          <w:tcPr>
            <w:tcW w:w="78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147"/>
        </w:trPr>
        <w:tc>
          <w:tcPr>
            <w:tcW w:w="990" w:type="dxa"/>
            <w:vAlign w:val="bottom"/>
            <w:shd w:val="clear" w:color="auto" w:fill="5668B0"/>
          </w:tcPr>
          <w:p>
            <w:pPr>
              <w:ind w:left="20"/>
              <w:spacing w:after="0" w:line="148" w:lineRule="exact"/>
              <w:rPr>
                <w:sz w:val="20"/>
                <w:szCs w:val="20"/>
                <w:color w:val="auto"/>
              </w:rPr>
            </w:pPr>
            <w:r>
              <w:rPr>
                <w:rFonts w:ascii="Arial" w:cs="Arial" w:eastAsia="Arial" w:hAnsi="Arial"/>
                <w:sz w:val="13"/>
                <w:szCs w:val="13"/>
                <w:color w:val="FFFFFE"/>
              </w:rPr>
              <w:t>(a)</w:t>
            </w:r>
          </w:p>
        </w:tc>
        <w:tc>
          <w:tcPr>
            <w:tcW w:w="95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(b)</w:t>
            </w:r>
          </w:p>
        </w:tc>
        <w:tc>
          <w:tcPr>
            <w:tcW w:w="1020" w:type="dxa"/>
            <w:vAlign w:val="bottom"/>
            <w:shd w:val="clear" w:color="auto" w:fill="5668B0"/>
          </w:tcPr>
          <w:p>
            <w:pPr>
              <w:jc w:val="right"/>
              <w:ind w:right="74"/>
              <w:spacing w:after="0" w:line="148" w:lineRule="exact"/>
              <w:rPr>
                <w:sz w:val="20"/>
                <w:szCs w:val="20"/>
                <w:color w:val="auto"/>
              </w:rPr>
            </w:pPr>
            <w:r>
              <w:rPr>
                <w:rFonts w:ascii="Arial" w:cs="Arial" w:eastAsia="Arial" w:hAnsi="Arial"/>
                <w:sz w:val="13"/>
                <w:szCs w:val="13"/>
                <w:color w:val="FFFFFE"/>
              </w:rPr>
              <w:t>(c)</w:t>
            </w:r>
          </w:p>
        </w:tc>
        <w:tc>
          <w:tcPr>
            <w:tcW w:w="920" w:type="dxa"/>
            <w:vAlign w:val="bottom"/>
            <w:shd w:val="clear" w:color="auto" w:fill="5668B0"/>
          </w:tcPr>
          <w:p>
            <w:pPr>
              <w:jc w:val="right"/>
              <w:ind w:right="73"/>
              <w:spacing w:after="0" w:line="148" w:lineRule="exact"/>
              <w:rPr>
                <w:sz w:val="20"/>
                <w:szCs w:val="20"/>
                <w:color w:val="auto"/>
              </w:rPr>
            </w:pPr>
            <w:r>
              <w:rPr>
                <w:rFonts w:ascii="Arial" w:cs="Arial" w:eastAsia="Arial" w:hAnsi="Arial"/>
                <w:sz w:val="13"/>
                <w:szCs w:val="13"/>
                <w:color w:val="FFFFFE"/>
              </w:rPr>
              <w:t>(d)</w:t>
            </w:r>
          </w:p>
        </w:tc>
        <w:tc>
          <w:tcPr>
            <w:tcW w:w="700" w:type="dxa"/>
            <w:vAlign w:val="bottom"/>
            <w:shd w:val="clear" w:color="auto" w:fill="5668B0"/>
          </w:tcPr>
          <w:p>
            <w:pPr>
              <w:jc w:val="right"/>
              <w:ind w:right="73"/>
              <w:spacing w:after="0" w:line="148" w:lineRule="exact"/>
              <w:rPr>
                <w:sz w:val="20"/>
                <w:szCs w:val="20"/>
                <w:color w:val="auto"/>
              </w:rPr>
            </w:pPr>
            <w:r>
              <w:rPr>
                <w:rFonts w:ascii="Arial" w:cs="Arial" w:eastAsia="Arial" w:hAnsi="Arial"/>
                <w:sz w:val="13"/>
                <w:szCs w:val="13"/>
                <w:color w:val="FFFFFE"/>
              </w:rPr>
              <w:t>(e)</w:t>
            </w:r>
          </w:p>
        </w:tc>
        <w:tc>
          <w:tcPr>
            <w:tcW w:w="860" w:type="dxa"/>
            <w:vAlign w:val="bottom"/>
            <w:shd w:val="clear" w:color="auto" w:fill="5668B0"/>
          </w:tcPr>
          <w:p>
            <w:pPr>
              <w:jc w:val="right"/>
              <w:ind w:right="73"/>
              <w:spacing w:after="0" w:line="148" w:lineRule="exact"/>
              <w:rPr>
                <w:sz w:val="20"/>
                <w:szCs w:val="20"/>
                <w:color w:val="auto"/>
              </w:rPr>
            </w:pPr>
            <w:r>
              <w:rPr>
                <w:rFonts w:ascii="Arial" w:cs="Arial" w:eastAsia="Arial" w:hAnsi="Arial"/>
                <w:sz w:val="13"/>
                <w:szCs w:val="13"/>
                <w:color w:val="FFFFFE"/>
              </w:rPr>
              <w:t>(f)</w:t>
            </w:r>
          </w:p>
        </w:tc>
        <w:tc>
          <w:tcPr>
            <w:tcW w:w="700" w:type="dxa"/>
            <w:vAlign w:val="bottom"/>
            <w:shd w:val="clear" w:color="auto" w:fill="5668B0"/>
          </w:tcPr>
          <w:p>
            <w:pPr>
              <w:jc w:val="right"/>
              <w:ind w:right="73"/>
              <w:spacing w:after="0" w:line="148" w:lineRule="exact"/>
              <w:rPr>
                <w:sz w:val="20"/>
                <w:szCs w:val="20"/>
                <w:color w:val="auto"/>
              </w:rPr>
            </w:pPr>
            <w:r>
              <w:rPr>
                <w:rFonts w:ascii="Arial" w:cs="Arial" w:eastAsia="Arial" w:hAnsi="Arial"/>
                <w:sz w:val="13"/>
                <w:szCs w:val="13"/>
                <w:color w:val="FFFFFE"/>
              </w:rPr>
              <w:t>(g)</w:t>
            </w:r>
          </w:p>
        </w:tc>
        <w:tc>
          <w:tcPr>
            <w:tcW w:w="86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(h)</w:t>
            </w:r>
          </w:p>
        </w:tc>
        <w:tc>
          <w:tcPr>
            <w:tcW w:w="78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(i)</w:t>
            </w:r>
          </w:p>
        </w:tc>
        <w:tc>
          <w:tcPr>
            <w:tcW w:w="66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(j)</w:t>
            </w:r>
          </w:p>
        </w:tc>
        <w:tc>
          <w:tcPr>
            <w:tcW w:w="0" w:type="dxa"/>
            <w:vAlign w:val="bottom"/>
          </w:tcPr>
          <w:p>
            <w:pPr>
              <w:spacing w:after="0"/>
              <w:rPr>
                <w:sz w:val="1"/>
                <w:szCs w:val="1"/>
                <w:color w:val="auto"/>
              </w:rPr>
            </w:pPr>
          </w:p>
        </w:tc>
      </w:tr>
      <w:tr>
        <w:trPr>
          <w:trHeight w:val="156"/>
        </w:trPr>
        <w:tc>
          <w:tcPr>
            <w:tcW w:w="990" w:type="dxa"/>
            <w:vAlign w:val="bottom"/>
            <w:shd w:val="clear" w:color="auto" w:fill="E6ECF8"/>
          </w:tcPr>
          <w:p>
            <w:pPr>
              <w:ind w:left="20"/>
              <w:spacing w:after="0"/>
              <w:rPr>
                <w:sz w:val="20"/>
                <w:szCs w:val="20"/>
                <w:color w:val="auto"/>
              </w:rPr>
            </w:pPr>
            <w:r>
              <w:rPr>
                <w:rFonts w:ascii="Arial" w:cs="Arial" w:eastAsia="Arial" w:hAnsi="Arial"/>
                <w:sz w:val="13"/>
                <w:szCs w:val="13"/>
                <w:color w:val="auto"/>
              </w:rPr>
              <w:t>Leonard S.</w:t>
            </w:r>
          </w:p>
        </w:tc>
        <w:tc>
          <w:tcPr>
            <w:tcW w:w="950" w:type="dxa"/>
            <w:vAlign w:val="bottom"/>
            <w:shd w:val="clear" w:color="auto" w:fill="E6ECF8"/>
          </w:tcPr>
          <w:p>
            <w:pPr>
              <w:spacing w:after="0"/>
              <w:rPr>
                <w:sz w:val="13"/>
                <w:szCs w:val="13"/>
                <w:color w:val="auto"/>
              </w:rPr>
            </w:pPr>
          </w:p>
        </w:tc>
        <w:tc>
          <w:tcPr>
            <w:tcW w:w="1020" w:type="dxa"/>
            <w:vAlign w:val="bottom"/>
            <w:shd w:val="clear" w:color="auto" w:fill="E6ECF8"/>
          </w:tcPr>
          <w:p>
            <w:pPr>
              <w:spacing w:after="0"/>
              <w:rPr>
                <w:sz w:val="13"/>
                <w:szCs w:val="13"/>
                <w:color w:val="auto"/>
              </w:rPr>
            </w:pPr>
          </w:p>
        </w:tc>
        <w:tc>
          <w:tcPr>
            <w:tcW w:w="920" w:type="dxa"/>
            <w:vAlign w:val="bottom"/>
            <w:shd w:val="clear" w:color="auto" w:fill="E6ECF8"/>
          </w:tcPr>
          <w:p>
            <w:pPr>
              <w:spacing w:after="0"/>
              <w:rPr>
                <w:sz w:val="13"/>
                <w:szCs w:val="13"/>
                <w:color w:val="auto"/>
              </w:rPr>
            </w:pPr>
          </w:p>
        </w:tc>
        <w:tc>
          <w:tcPr>
            <w:tcW w:w="700" w:type="dxa"/>
            <w:vAlign w:val="bottom"/>
            <w:shd w:val="clear" w:color="auto" w:fill="E6ECF8"/>
          </w:tcPr>
          <w:p>
            <w:pPr>
              <w:spacing w:after="0"/>
              <w:rPr>
                <w:sz w:val="13"/>
                <w:szCs w:val="13"/>
                <w:color w:val="auto"/>
              </w:rPr>
            </w:pPr>
          </w:p>
        </w:tc>
        <w:tc>
          <w:tcPr>
            <w:tcW w:w="860" w:type="dxa"/>
            <w:vAlign w:val="bottom"/>
            <w:shd w:val="clear" w:color="auto" w:fill="E6ECF8"/>
          </w:tcPr>
          <w:p>
            <w:pPr>
              <w:spacing w:after="0"/>
              <w:rPr>
                <w:sz w:val="13"/>
                <w:szCs w:val="13"/>
                <w:color w:val="auto"/>
              </w:rPr>
            </w:pPr>
          </w:p>
        </w:tc>
        <w:tc>
          <w:tcPr>
            <w:tcW w:w="700" w:type="dxa"/>
            <w:vAlign w:val="bottom"/>
            <w:shd w:val="clear" w:color="auto" w:fill="E6ECF8"/>
          </w:tcPr>
          <w:p>
            <w:pPr>
              <w:spacing w:after="0"/>
              <w:rPr>
                <w:sz w:val="13"/>
                <w:szCs w:val="13"/>
                <w:color w:val="auto"/>
              </w:rPr>
            </w:pPr>
          </w:p>
        </w:tc>
        <w:tc>
          <w:tcPr>
            <w:tcW w:w="860" w:type="dxa"/>
            <w:vAlign w:val="bottom"/>
            <w:shd w:val="clear" w:color="auto" w:fill="E6ECF8"/>
          </w:tcPr>
          <w:p>
            <w:pPr>
              <w:spacing w:after="0"/>
              <w:rPr>
                <w:sz w:val="13"/>
                <w:szCs w:val="13"/>
                <w:color w:val="auto"/>
              </w:rPr>
            </w:pPr>
          </w:p>
        </w:tc>
        <w:tc>
          <w:tcPr>
            <w:tcW w:w="780" w:type="dxa"/>
            <w:vAlign w:val="bottom"/>
            <w:shd w:val="clear" w:color="auto" w:fill="E6ECF8"/>
          </w:tcPr>
          <w:p>
            <w:pPr>
              <w:spacing w:after="0"/>
              <w:rPr>
                <w:sz w:val="13"/>
                <w:szCs w:val="13"/>
                <w:color w:val="auto"/>
              </w:rPr>
            </w:pPr>
          </w:p>
        </w:tc>
        <w:tc>
          <w:tcPr>
            <w:tcW w:w="660" w:type="dxa"/>
            <w:vAlign w:val="bottom"/>
            <w:shd w:val="clear" w:color="auto" w:fill="E6ECF8"/>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ind w:left="140"/>
              <w:spacing w:after="0"/>
              <w:rPr>
                <w:sz w:val="20"/>
                <w:szCs w:val="20"/>
                <w:color w:val="auto"/>
              </w:rPr>
            </w:pPr>
            <w:r>
              <w:rPr>
                <w:rFonts w:ascii="Arial" w:cs="Arial" w:eastAsia="Arial" w:hAnsi="Arial"/>
                <w:sz w:val="13"/>
                <w:szCs w:val="13"/>
                <w:color w:val="auto"/>
              </w:rPr>
              <w:t>Schleifer,</w:t>
            </w:r>
          </w:p>
        </w:tc>
        <w:tc>
          <w:tcPr>
            <w:tcW w:w="950" w:type="dxa"/>
            <w:vAlign w:val="bottom"/>
            <w:shd w:val="clear" w:color="auto" w:fill="E6ECF8"/>
          </w:tcPr>
          <w:p>
            <w:pPr>
              <w:spacing w:after="0"/>
              <w:rPr>
                <w:sz w:val="13"/>
                <w:szCs w:val="13"/>
                <w:color w:val="auto"/>
              </w:rPr>
            </w:pPr>
          </w:p>
        </w:tc>
        <w:tc>
          <w:tcPr>
            <w:tcW w:w="1020" w:type="dxa"/>
            <w:vAlign w:val="bottom"/>
            <w:vMerge w:val="restart"/>
            <w:shd w:val="clear" w:color="auto" w:fill="E6ECF8"/>
          </w:tcPr>
          <w:p>
            <w:pPr>
              <w:jc w:val="right"/>
              <w:ind w:right="14"/>
              <w:spacing w:after="0"/>
              <w:rPr>
                <w:sz w:val="20"/>
                <w:szCs w:val="20"/>
                <w:color w:val="auto"/>
              </w:rPr>
            </w:pPr>
            <w:r>
              <w:rPr>
                <w:rFonts w:ascii="Arial" w:cs="Arial" w:eastAsia="Arial" w:hAnsi="Arial"/>
                <w:sz w:val="13"/>
                <w:szCs w:val="13"/>
                <w:color w:val="auto"/>
              </w:rPr>
              <w:t>172,723</w:t>
            </w:r>
            <w:r>
              <w:rPr>
                <w:rFonts w:ascii="Arial" w:cs="Arial" w:eastAsia="Arial" w:hAnsi="Arial"/>
                <w:sz w:val="20"/>
                <w:szCs w:val="20"/>
                <w:color w:val="5668B0"/>
                <w:vertAlign w:val="superscript"/>
              </w:rPr>
              <w:t>1</w:t>
            </w:r>
          </w:p>
        </w:tc>
        <w:tc>
          <w:tcPr>
            <w:tcW w:w="920" w:type="dxa"/>
            <w:vAlign w:val="bottom"/>
            <w:shd w:val="clear" w:color="auto" w:fill="E6ECF8"/>
          </w:tcPr>
          <w:p>
            <w:pPr>
              <w:spacing w:after="0"/>
              <w:rPr>
                <w:sz w:val="13"/>
                <w:szCs w:val="13"/>
                <w:color w:val="auto"/>
              </w:rPr>
            </w:pPr>
          </w:p>
        </w:tc>
        <w:tc>
          <w:tcPr>
            <w:tcW w:w="700" w:type="dxa"/>
            <w:vAlign w:val="bottom"/>
            <w:shd w:val="clear" w:color="auto" w:fill="E6ECF8"/>
          </w:tcPr>
          <w:p>
            <w:pPr>
              <w:spacing w:after="0"/>
              <w:rPr>
                <w:sz w:val="13"/>
                <w:szCs w:val="13"/>
                <w:color w:val="auto"/>
              </w:rPr>
            </w:pPr>
          </w:p>
        </w:tc>
        <w:tc>
          <w:tcPr>
            <w:tcW w:w="860" w:type="dxa"/>
            <w:vAlign w:val="bottom"/>
            <w:shd w:val="clear" w:color="auto" w:fill="E6ECF8"/>
          </w:tcPr>
          <w:p>
            <w:pPr>
              <w:spacing w:after="0"/>
              <w:rPr>
                <w:sz w:val="13"/>
                <w:szCs w:val="13"/>
                <w:color w:val="auto"/>
              </w:rPr>
            </w:pPr>
          </w:p>
        </w:tc>
        <w:tc>
          <w:tcPr>
            <w:tcW w:w="700" w:type="dxa"/>
            <w:vAlign w:val="bottom"/>
            <w:shd w:val="clear" w:color="auto" w:fill="E6ECF8"/>
          </w:tcPr>
          <w:p>
            <w:pPr>
              <w:spacing w:after="0"/>
              <w:rPr>
                <w:sz w:val="13"/>
                <w:szCs w:val="13"/>
                <w:color w:val="auto"/>
              </w:rPr>
            </w:pPr>
          </w:p>
        </w:tc>
        <w:tc>
          <w:tcPr>
            <w:tcW w:w="860" w:type="dxa"/>
            <w:vAlign w:val="bottom"/>
            <w:shd w:val="clear" w:color="auto" w:fill="E6ECF8"/>
          </w:tcPr>
          <w:p>
            <w:pPr>
              <w:spacing w:after="0"/>
              <w:rPr>
                <w:sz w:val="13"/>
                <w:szCs w:val="13"/>
                <w:color w:val="auto"/>
              </w:rPr>
            </w:pPr>
          </w:p>
        </w:tc>
        <w:tc>
          <w:tcPr>
            <w:tcW w:w="780" w:type="dxa"/>
            <w:vAlign w:val="bottom"/>
            <w:shd w:val="clear" w:color="auto" w:fill="E6ECF8"/>
          </w:tcPr>
          <w:p>
            <w:pPr>
              <w:spacing w:after="0"/>
              <w:rPr>
                <w:sz w:val="13"/>
                <w:szCs w:val="13"/>
                <w:color w:val="auto"/>
              </w:rPr>
            </w:pPr>
          </w:p>
        </w:tc>
        <w:tc>
          <w:tcPr>
            <w:tcW w:w="660" w:type="dxa"/>
            <w:vAlign w:val="bottom"/>
            <w:shd w:val="clear" w:color="auto" w:fill="E6ECF8"/>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90" w:type="dxa"/>
            <w:vAlign w:val="bottom"/>
            <w:shd w:val="clear" w:color="auto" w:fill="E6ECF8"/>
          </w:tcPr>
          <w:p>
            <w:pPr>
              <w:ind w:left="140"/>
              <w:spacing w:after="0" w:line="122" w:lineRule="exact"/>
              <w:rPr>
                <w:sz w:val="20"/>
                <w:szCs w:val="20"/>
                <w:color w:val="auto"/>
              </w:rPr>
            </w:pPr>
            <w:r>
              <w:rPr>
                <w:rFonts w:ascii="Arial" w:cs="Arial" w:eastAsia="Arial" w:hAnsi="Arial"/>
                <w:sz w:val="13"/>
                <w:szCs w:val="13"/>
                <w:color w:val="auto"/>
              </w:rPr>
              <w:t>M.D., Ph.D.</w:t>
            </w:r>
          </w:p>
        </w:tc>
        <w:tc>
          <w:tcPr>
            <w:tcW w:w="950" w:type="dxa"/>
            <w:vAlign w:val="bottom"/>
            <w:shd w:val="clear" w:color="auto" w:fill="E6ECF8"/>
          </w:tcPr>
          <w:p>
            <w:pPr>
              <w:jc w:val="right"/>
              <w:ind w:right="53"/>
              <w:spacing w:after="0" w:line="122" w:lineRule="exact"/>
              <w:rPr>
                <w:sz w:val="20"/>
                <w:szCs w:val="20"/>
                <w:color w:val="auto"/>
              </w:rPr>
            </w:pPr>
            <w:r>
              <w:rPr>
                <w:rFonts w:ascii="Arial" w:cs="Arial" w:eastAsia="Arial" w:hAnsi="Arial"/>
                <w:sz w:val="13"/>
                <w:szCs w:val="13"/>
                <w:color w:val="auto"/>
              </w:rPr>
              <w:t>—</w:t>
            </w:r>
          </w:p>
        </w:tc>
        <w:tc>
          <w:tcPr>
            <w:tcW w:w="1020" w:type="dxa"/>
            <w:vAlign w:val="bottom"/>
            <w:vMerge w:val="continue"/>
            <w:shd w:val="clear" w:color="auto" w:fill="E6ECF8"/>
          </w:tcPr>
          <w:p>
            <w:pPr>
              <w:spacing w:after="0"/>
              <w:rPr>
                <w:sz w:val="10"/>
                <w:szCs w:val="10"/>
                <w:color w:val="auto"/>
              </w:rPr>
            </w:pPr>
          </w:p>
        </w:tc>
        <w:tc>
          <w:tcPr>
            <w:tcW w:w="920" w:type="dxa"/>
            <w:vAlign w:val="bottom"/>
            <w:shd w:val="clear" w:color="auto" w:fill="E6ECF8"/>
          </w:tcPr>
          <w:p>
            <w:pPr>
              <w:jc w:val="right"/>
              <w:ind w:right="73"/>
              <w:spacing w:after="0" w:line="122" w:lineRule="exact"/>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line="122" w:lineRule="exact"/>
              <w:rPr>
                <w:sz w:val="20"/>
                <w:szCs w:val="20"/>
                <w:color w:val="auto"/>
              </w:rPr>
            </w:pPr>
            <w:r>
              <w:rPr>
                <w:rFonts w:ascii="Arial" w:cs="Arial" w:eastAsia="Arial" w:hAnsi="Arial"/>
                <w:sz w:val="13"/>
                <w:szCs w:val="13"/>
                <w:color w:val="auto"/>
              </w:rPr>
              <w:t>555.67</w:t>
            </w:r>
          </w:p>
        </w:tc>
        <w:tc>
          <w:tcPr>
            <w:tcW w:w="860" w:type="dxa"/>
            <w:vAlign w:val="bottom"/>
            <w:shd w:val="clear" w:color="auto" w:fill="E6ECF8"/>
          </w:tcPr>
          <w:p>
            <w:pPr>
              <w:jc w:val="right"/>
              <w:ind w:right="53"/>
              <w:spacing w:after="0" w:line="122" w:lineRule="exact"/>
              <w:rPr>
                <w:sz w:val="20"/>
                <w:szCs w:val="20"/>
                <w:color w:val="auto"/>
              </w:rPr>
            </w:pPr>
            <w:r>
              <w:rPr>
                <w:rFonts w:ascii="Arial" w:cs="Arial" w:eastAsia="Arial" w:hAnsi="Arial"/>
                <w:sz w:val="13"/>
                <w:szCs w:val="13"/>
                <w:color w:val="auto"/>
              </w:rPr>
              <w:t>12/16/2025</w:t>
            </w:r>
          </w:p>
        </w:tc>
        <w:tc>
          <w:tcPr>
            <w:tcW w:w="700" w:type="dxa"/>
            <w:vAlign w:val="bottom"/>
            <w:shd w:val="clear" w:color="auto" w:fill="E6ECF8"/>
          </w:tcPr>
          <w:p>
            <w:pPr>
              <w:jc w:val="right"/>
              <w:ind w:right="73"/>
              <w:spacing w:after="0" w:line="122" w:lineRule="exact"/>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line="122" w:lineRule="exact"/>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50,801</w:t>
            </w:r>
          </w:p>
        </w:tc>
        <w:tc>
          <w:tcPr>
            <w:tcW w:w="1020" w:type="dxa"/>
            <w:vAlign w:val="bottom"/>
            <w:shd w:val="clear" w:color="auto" w:fill="E6ECF8"/>
          </w:tcPr>
          <w:p>
            <w:pPr>
              <w:jc w:val="right"/>
              <w:ind w:right="14"/>
              <w:spacing w:after="0" w:line="152" w:lineRule="exact"/>
              <w:rPr>
                <w:sz w:val="20"/>
                <w:szCs w:val="20"/>
                <w:color w:val="auto"/>
              </w:rPr>
            </w:pPr>
            <w:r>
              <w:rPr>
                <w:rFonts w:ascii="Arial" w:cs="Arial" w:eastAsia="Arial" w:hAnsi="Arial"/>
                <w:sz w:val="12"/>
                <w:szCs w:val="12"/>
                <w:color w:val="auto"/>
              </w:rPr>
              <w:t>152,403</w:t>
            </w:r>
            <w:r>
              <w:rPr>
                <w:rFonts w:ascii="Arial" w:cs="Arial" w:eastAsia="Arial" w:hAnsi="Arial"/>
                <w:sz w:val="17"/>
                <w:szCs w:val="17"/>
                <w:color w:val="5668B0"/>
                <w:vertAlign w:val="superscript"/>
              </w:rPr>
              <w:t>2</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399.66</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12/16/2024</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119,532</w:t>
            </w:r>
          </w:p>
        </w:tc>
        <w:tc>
          <w:tcPr>
            <w:tcW w:w="1020" w:type="dxa"/>
            <w:vAlign w:val="bottom"/>
            <w:shd w:val="clear" w:color="auto" w:fill="E6ECF8"/>
          </w:tcPr>
          <w:p>
            <w:pPr>
              <w:jc w:val="right"/>
              <w:ind w:right="14"/>
              <w:spacing w:after="0" w:line="152" w:lineRule="exact"/>
              <w:rPr>
                <w:sz w:val="20"/>
                <w:szCs w:val="20"/>
                <w:color w:val="auto"/>
              </w:rPr>
            </w:pPr>
            <w:r>
              <w:rPr>
                <w:rFonts w:ascii="Arial" w:cs="Arial" w:eastAsia="Arial" w:hAnsi="Arial"/>
                <w:sz w:val="12"/>
                <w:szCs w:val="12"/>
                <w:color w:val="auto"/>
              </w:rPr>
              <w:t>119,531</w:t>
            </w:r>
            <w:r>
              <w:rPr>
                <w:rFonts w:ascii="Arial" w:cs="Arial" w:eastAsia="Arial" w:hAnsi="Arial"/>
                <w:sz w:val="17"/>
                <w:szCs w:val="17"/>
                <w:color w:val="5668B0"/>
                <w:vertAlign w:val="superscript"/>
              </w:rPr>
              <w:t>3</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270.43</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12/13/2023</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990" w:type="dxa"/>
            <w:vAlign w:val="bottom"/>
            <w:shd w:val="clear" w:color="auto" w:fill="E6ECF8"/>
          </w:tcPr>
          <w:p>
            <w:pPr>
              <w:spacing w:after="0"/>
              <w:rPr>
                <w:sz w:val="15"/>
                <w:szCs w:val="15"/>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210,938</w:t>
            </w:r>
          </w:p>
        </w:tc>
        <w:tc>
          <w:tcPr>
            <w:tcW w:w="1020" w:type="dxa"/>
            <w:vAlign w:val="bottom"/>
            <w:shd w:val="clear" w:color="auto" w:fill="E6ECF8"/>
          </w:tcPr>
          <w:p>
            <w:pPr>
              <w:jc w:val="right"/>
              <w:ind w:right="14"/>
              <w:spacing w:after="0" w:line="177" w:lineRule="exact"/>
              <w:rPr>
                <w:sz w:val="20"/>
                <w:szCs w:val="20"/>
                <w:color w:val="auto"/>
              </w:rPr>
            </w:pPr>
            <w:r>
              <w:rPr>
                <w:rFonts w:ascii="Arial" w:cs="Arial" w:eastAsia="Arial" w:hAnsi="Arial"/>
                <w:sz w:val="13"/>
                <w:szCs w:val="13"/>
                <w:color w:val="auto"/>
              </w:rPr>
              <w:t>70,312</w:t>
            </w:r>
            <w:r>
              <w:rPr>
                <w:rFonts w:ascii="Arial" w:cs="Arial" w:eastAsia="Arial" w:hAnsi="Arial"/>
                <w:sz w:val="20"/>
                <w:szCs w:val="20"/>
                <w:color w:val="5668B0"/>
                <w:vertAlign w:val="superscript"/>
              </w:rPr>
              <w:t>4</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179.13</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12/14/2022</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160,000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52.03</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240,000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52.03</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30.63</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12/14/2020</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30.63</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12/14/2020</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21.25</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12/18/2019</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21.25</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12/18/2019</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16.80</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12/17/2018</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16.80</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12/17/2018</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250,000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21.92</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12/17/2017</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250,000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20.32</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12/18/2016</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990" w:type="dxa"/>
            <w:vAlign w:val="bottom"/>
            <w:tcBorders>
              <w:bottom w:val="single" w:sz="8" w:color="5668B0"/>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950" w:type="dxa"/>
            <w:vAlign w:val="bottom"/>
            <w:tcBorders>
              <w:bottom w:val="single" w:sz="8" w:color="5668B0"/>
            </w:tcBorders>
            <w:shd w:val="clear" w:color="auto" w:fill="E6ECF8"/>
          </w:tcPr>
          <w:p>
            <w:pPr>
              <w:jc w:val="right"/>
              <w:ind w:right="53"/>
              <w:spacing w:after="0"/>
              <w:rPr>
                <w:sz w:val="20"/>
                <w:szCs w:val="20"/>
                <w:color w:val="auto"/>
              </w:rPr>
            </w:pPr>
            <w:r>
              <w:rPr>
                <w:rFonts w:ascii="Arial" w:cs="Arial" w:eastAsia="Arial" w:hAnsi="Arial"/>
                <w:sz w:val="13"/>
                <w:szCs w:val="13"/>
                <w:b w:val="1"/>
                <w:bCs w:val="1"/>
                <w:color w:val="auto"/>
              </w:rPr>
              <w:t>2,218,771</w:t>
            </w:r>
          </w:p>
        </w:tc>
        <w:tc>
          <w:tcPr>
            <w:tcW w:w="1020" w:type="dxa"/>
            <w:vAlign w:val="bottom"/>
            <w:tcBorders>
              <w:bottom w:val="single" w:sz="8" w:color="5668B0"/>
            </w:tcBorders>
            <w:shd w:val="clear" w:color="auto" w:fill="E6ECF8"/>
          </w:tcPr>
          <w:p>
            <w:pPr>
              <w:jc w:val="right"/>
              <w:ind w:right="74"/>
              <w:spacing w:after="0"/>
              <w:rPr>
                <w:sz w:val="20"/>
                <w:szCs w:val="20"/>
                <w:color w:val="auto"/>
              </w:rPr>
            </w:pPr>
            <w:r>
              <w:rPr>
                <w:rFonts w:ascii="Arial" w:cs="Arial" w:eastAsia="Arial" w:hAnsi="Arial"/>
                <w:sz w:val="13"/>
                <w:szCs w:val="13"/>
                <w:b w:val="1"/>
                <w:bCs w:val="1"/>
                <w:color w:val="auto"/>
              </w:rPr>
              <w:t>514,969</w:t>
            </w:r>
          </w:p>
        </w:tc>
        <w:tc>
          <w:tcPr>
            <w:tcW w:w="920" w:type="dxa"/>
            <w:vAlign w:val="bottom"/>
            <w:tcBorders>
              <w:bottom w:val="single" w:sz="8" w:color="5668B0"/>
            </w:tcBorders>
            <w:shd w:val="clear" w:color="auto" w:fill="E6ECF8"/>
          </w:tcPr>
          <w:p>
            <w:pPr>
              <w:spacing w:after="0"/>
              <w:rPr>
                <w:sz w:val="16"/>
                <w:szCs w:val="16"/>
                <w:color w:val="auto"/>
              </w:rPr>
            </w:pPr>
          </w:p>
        </w:tc>
        <w:tc>
          <w:tcPr>
            <w:tcW w:w="700" w:type="dxa"/>
            <w:vAlign w:val="bottom"/>
            <w:tcBorders>
              <w:bottom w:val="single" w:sz="8" w:color="5668B0"/>
            </w:tcBorders>
            <w:shd w:val="clear" w:color="auto" w:fill="E6ECF8"/>
          </w:tcPr>
          <w:p>
            <w:pPr>
              <w:spacing w:after="0"/>
              <w:rPr>
                <w:sz w:val="16"/>
                <w:szCs w:val="16"/>
                <w:color w:val="auto"/>
              </w:rPr>
            </w:pPr>
          </w:p>
        </w:tc>
        <w:tc>
          <w:tcPr>
            <w:tcW w:w="860" w:type="dxa"/>
            <w:vAlign w:val="bottom"/>
            <w:tcBorders>
              <w:bottom w:val="single" w:sz="8" w:color="5668B0"/>
            </w:tcBorders>
            <w:shd w:val="clear" w:color="auto" w:fill="E6ECF8"/>
          </w:tcPr>
          <w:p>
            <w:pPr>
              <w:spacing w:after="0"/>
              <w:rPr>
                <w:sz w:val="16"/>
                <w:szCs w:val="16"/>
                <w:color w:val="auto"/>
              </w:rPr>
            </w:pPr>
          </w:p>
        </w:tc>
        <w:tc>
          <w:tcPr>
            <w:tcW w:w="700" w:type="dxa"/>
            <w:vAlign w:val="bottom"/>
            <w:tcBorders>
              <w:bottom w:val="single" w:sz="8" w:color="5668B0"/>
            </w:tcBorders>
            <w:shd w:val="clear" w:color="auto" w:fill="E6ECF8"/>
          </w:tcPr>
          <w:p>
            <w:pPr>
              <w:spacing w:after="0"/>
              <w:rPr>
                <w:sz w:val="16"/>
                <w:szCs w:val="16"/>
                <w:color w:val="auto"/>
              </w:rPr>
            </w:pPr>
          </w:p>
        </w:tc>
        <w:tc>
          <w:tcPr>
            <w:tcW w:w="860" w:type="dxa"/>
            <w:vAlign w:val="bottom"/>
            <w:tcBorders>
              <w:bottom w:val="single" w:sz="8" w:color="5668B0"/>
            </w:tcBorders>
            <w:shd w:val="clear" w:color="auto" w:fill="E6ECF8"/>
          </w:tcPr>
          <w:p>
            <w:pPr>
              <w:spacing w:after="0"/>
              <w:rPr>
                <w:sz w:val="16"/>
                <w:szCs w:val="16"/>
                <w:color w:val="auto"/>
              </w:rPr>
            </w:pPr>
          </w:p>
        </w:tc>
        <w:tc>
          <w:tcPr>
            <w:tcW w:w="780" w:type="dxa"/>
            <w:vAlign w:val="bottom"/>
            <w:tcBorders>
              <w:bottom w:val="single" w:sz="8" w:color="5668B0"/>
            </w:tcBorders>
            <w:shd w:val="clear" w:color="auto" w:fill="E6ECF8"/>
          </w:tcPr>
          <w:p>
            <w:pPr>
              <w:spacing w:after="0"/>
              <w:rPr>
                <w:sz w:val="16"/>
                <w:szCs w:val="16"/>
                <w:color w:val="auto"/>
              </w:rPr>
            </w:pPr>
          </w:p>
        </w:tc>
        <w:tc>
          <w:tcPr>
            <w:tcW w:w="660" w:type="dxa"/>
            <w:vAlign w:val="bottom"/>
            <w:tcBorders>
              <w:bottom w:val="single" w:sz="8" w:color="5668B0"/>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990" w:type="dxa"/>
            <w:vAlign w:val="bottom"/>
            <w:shd w:val="clear" w:color="auto" w:fill="D0DBEF"/>
          </w:tcPr>
          <w:p>
            <w:pPr>
              <w:ind w:left="20"/>
              <w:spacing w:after="0"/>
              <w:rPr>
                <w:sz w:val="20"/>
                <w:szCs w:val="20"/>
                <w:color w:val="auto"/>
              </w:rPr>
            </w:pPr>
            <w:r>
              <w:rPr>
                <w:rFonts w:ascii="Arial" w:cs="Arial" w:eastAsia="Arial" w:hAnsi="Arial"/>
                <w:sz w:val="13"/>
                <w:szCs w:val="13"/>
                <w:color w:val="auto"/>
              </w:rPr>
              <w:t>George D.</w:t>
            </w:r>
          </w:p>
        </w:tc>
        <w:tc>
          <w:tcPr>
            <w:tcW w:w="950" w:type="dxa"/>
            <w:vAlign w:val="bottom"/>
            <w:shd w:val="clear" w:color="auto" w:fill="D0DBEF"/>
          </w:tcPr>
          <w:p>
            <w:pPr>
              <w:spacing w:after="0"/>
              <w:rPr>
                <w:sz w:val="12"/>
                <w:szCs w:val="12"/>
                <w:color w:val="auto"/>
              </w:rPr>
            </w:pPr>
          </w:p>
        </w:tc>
        <w:tc>
          <w:tcPr>
            <w:tcW w:w="1020" w:type="dxa"/>
            <w:vAlign w:val="bottom"/>
            <w:shd w:val="clear" w:color="auto" w:fill="D0DBEF"/>
          </w:tcPr>
          <w:p>
            <w:pPr>
              <w:spacing w:after="0"/>
              <w:rPr>
                <w:sz w:val="12"/>
                <w:szCs w:val="12"/>
                <w:color w:val="auto"/>
              </w:rPr>
            </w:pPr>
          </w:p>
        </w:tc>
        <w:tc>
          <w:tcPr>
            <w:tcW w:w="920" w:type="dxa"/>
            <w:vAlign w:val="bottom"/>
            <w:shd w:val="clear" w:color="auto" w:fill="D0DBEF"/>
          </w:tcPr>
          <w:p>
            <w:pPr>
              <w:spacing w:after="0"/>
              <w:rPr>
                <w:sz w:val="12"/>
                <w:szCs w:val="12"/>
                <w:color w:val="auto"/>
              </w:rPr>
            </w:pPr>
          </w:p>
        </w:tc>
        <w:tc>
          <w:tcPr>
            <w:tcW w:w="700" w:type="dxa"/>
            <w:vAlign w:val="bottom"/>
            <w:shd w:val="clear" w:color="auto" w:fill="D0DBEF"/>
          </w:tcPr>
          <w:p>
            <w:pPr>
              <w:spacing w:after="0"/>
              <w:rPr>
                <w:sz w:val="12"/>
                <w:szCs w:val="12"/>
                <w:color w:val="auto"/>
              </w:rPr>
            </w:pPr>
          </w:p>
        </w:tc>
        <w:tc>
          <w:tcPr>
            <w:tcW w:w="860" w:type="dxa"/>
            <w:vAlign w:val="bottom"/>
            <w:shd w:val="clear" w:color="auto" w:fill="D0DBEF"/>
          </w:tcPr>
          <w:p>
            <w:pPr>
              <w:spacing w:after="0"/>
              <w:rPr>
                <w:sz w:val="12"/>
                <w:szCs w:val="12"/>
                <w:color w:val="auto"/>
              </w:rPr>
            </w:pPr>
          </w:p>
        </w:tc>
        <w:tc>
          <w:tcPr>
            <w:tcW w:w="700" w:type="dxa"/>
            <w:vAlign w:val="bottom"/>
            <w:shd w:val="clear" w:color="auto" w:fill="D0DBEF"/>
          </w:tcPr>
          <w:p>
            <w:pPr>
              <w:spacing w:after="0"/>
              <w:rPr>
                <w:sz w:val="12"/>
                <w:szCs w:val="12"/>
                <w:color w:val="auto"/>
              </w:rPr>
            </w:pPr>
          </w:p>
        </w:tc>
        <w:tc>
          <w:tcPr>
            <w:tcW w:w="860" w:type="dxa"/>
            <w:vAlign w:val="bottom"/>
            <w:shd w:val="clear" w:color="auto" w:fill="D0DBEF"/>
          </w:tcPr>
          <w:p>
            <w:pPr>
              <w:spacing w:after="0"/>
              <w:rPr>
                <w:sz w:val="12"/>
                <w:szCs w:val="12"/>
                <w:color w:val="auto"/>
              </w:rPr>
            </w:pPr>
          </w:p>
        </w:tc>
        <w:tc>
          <w:tcPr>
            <w:tcW w:w="780" w:type="dxa"/>
            <w:vAlign w:val="bottom"/>
            <w:shd w:val="clear" w:color="auto" w:fill="D0DBEF"/>
          </w:tcPr>
          <w:p>
            <w:pPr>
              <w:spacing w:after="0"/>
              <w:rPr>
                <w:sz w:val="12"/>
                <w:szCs w:val="12"/>
                <w:color w:val="auto"/>
              </w:rPr>
            </w:pPr>
          </w:p>
        </w:tc>
        <w:tc>
          <w:tcPr>
            <w:tcW w:w="660" w:type="dxa"/>
            <w:vAlign w:val="bottom"/>
            <w:shd w:val="clear" w:color="auto" w:fill="D0DBE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ind w:left="140"/>
              <w:spacing w:after="0"/>
              <w:rPr>
                <w:sz w:val="20"/>
                <w:szCs w:val="20"/>
                <w:color w:val="auto"/>
              </w:rPr>
            </w:pPr>
            <w:r>
              <w:rPr>
                <w:rFonts w:ascii="Arial" w:cs="Arial" w:eastAsia="Arial" w:hAnsi="Arial"/>
                <w:sz w:val="13"/>
                <w:szCs w:val="13"/>
                <w:color w:val="auto"/>
              </w:rPr>
              <w:t>Yancopoulos,</w:t>
            </w:r>
          </w:p>
        </w:tc>
        <w:tc>
          <w:tcPr>
            <w:tcW w:w="950" w:type="dxa"/>
            <w:vAlign w:val="bottom"/>
            <w:shd w:val="clear" w:color="auto" w:fill="D0DBEF"/>
          </w:tcPr>
          <w:p>
            <w:pPr>
              <w:spacing w:after="0"/>
              <w:rPr>
                <w:sz w:val="13"/>
                <w:szCs w:val="13"/>
                <w:color w:val="auto"/>
              </w:rPr>
            </w:pPr>
          </w:p>
        </w:tc>
        <w:tc>
          <w:tcPr>
            <w:tcW w:w="1020" w:type="dxa"/>
            <w:vAlign w:val="bottom"/>
            <w:vMerge w:val="restart"/>
            <w:shd w:val="clear" w:color="auto" w:fill="D0DBEF"/>
          </w:tcPr>
          <w:p>
            <w:pPr>
              <w:jc w:val="right"/>
              <w:ind w:right="14"/>
              <w:spacing w:after="0"/>
              <w:rPr>
                <w:sz w:val="20"/>
                <w:szCs w:val="20"/>
                <w:color w:val="auto"/>
              </w:rPr>
            </w:pPr>
            <w:r>
              <w:rPr>
                <w:rFonts w:ascii="Arial" w:cs="Arial" w:eastAsia="Arial" w:hAnsi="Arial"/>
                <w:sz w:val="13"/>
                <w:szCs w:val="13"/>
                <w:color w:val="auto"/>
              </w:rPr>
              <w:t>146,815</w:t>
            </w:r>
            <w:r>
              <w:rPr>
                <w:rFonts w:ascii="Arial" w:cs="Arial" w:eastAsia="Arial" w:hAnsi="Arial"/>
                <w:sz w:val="20"/>
                <w:szCs w:val="20"/>
                <w:color w:val="5668B0"/>
                <w:vertAlign w:val="superscript"/>
              </w:rPr>
              <w:t>1</w:t>
            </w:r>
          </w:p>
        </w:tc>
        <w:tc>
          <w:tcPr>
            <w:tcW w:w="920" w:type="dxa"/>
            <w:vAlign w:val="bottom"/>
            <w:shd w:val="clear" w:color="auto" w:fill="D0DBEF"/>
          </w:tcPr>
          <w:p>
            <w:pPr>
              <w:spacing w:after="0"/>
              <w:rPr>
                <w:sz w:val="13"/>
                <w:szCs w:val="13"/>
                <w:color w:val="auto"/>
              </w:rPr>
            </w:pPr>
          </w:p>
        </w:tc>
        <w:tc>
          <w:tcPr>
            <w:tcW w:w="700" w:type="dxa"/>
            <w:vAlign w:val="bottom"/>
            <w:shd w:val="clear" w:color="auto" w:fill="D0DBEF"/>
          </w:tcPr>
          <w:p>
            <w:pPr>
              <w:spacing w:after="0"/>
              <w:rPr>
                <w:sz w:val="13"/>
                <w:szCs w:val="13"/>
                <w:color w:val="auto"/>
              </w:rPr>
            </w:pPr>
          </w:p>
        </w:tc>
        <w:tc>
          <w:tcPr>
            <w:tcW w:w="860" w:type="dxa"/>
            <w:vAlign w:val="bottom"/>
            <w:shd w:val="clear" w:color="auto" w:fill="D0DBEF"/>
          </w:tcPr>
          <w:p>
            <w:pPr>
              <w:spacing w:after="0"/>
              <w:rPr>
                <w:sz w:val="13"/>
                <w:szCs w:val="13"/>
                <w:color w:val="auto"/>
              </w:rPr>
            </w:pPr>
          </w:p>
        </w:tc>
        <w:tc>
          <w:tcPr>
            <w:tcW w:w="700" w:type="dxa"/>
            <w:vAlign w:val="bottom"/>
            <w:shd w:val="clear" w:color="auto" w:fill="D0DBEF"/>
          </w:tcPr>
          <w:p>
            <w:pPr>
              <w:spacing w:after="0"/>
              <w:rPr>
                <w:sz w:val="13"/>
                <w:szCs w:val="13"/>
                <w:color w:val="auto"/>
              </w:rPr>
            </w:pPr>
          </w:p>
        </w:tc>
        <w:tc>
          <w:tcPr>
            <w:tcW w:w="860" w:type="dxa"/>
            <w:vAlign w:val="bottom"/>
            <w:shd w:val="clear" w:color="auto" w:fill="D0DBEF"/>
          </w:tcPr>
          <w:p>
            <w:pPr>
              <w:spacing w:after="0"/>
              <w:rPr>
                <w:sz w:val="13"/>
                <w:szCs w:val="13"/>
                <w:color w:val="auto"/>
              </w:rPr>
            </w:pPr>
          </w:p>
        </w:tc>
        <w:tc>
          <w:tcPr>
            <w:tcW w:w="780" w:type="dxa"/>
            <w:vAlign w:val="bottom"/>
            <w:shd w:val="clear" w:color="auto" w:fill="D0DBEF"/>
          </w:tcPr>
          <w:p>
            <w:pPr>
              <w:spacing w:after="0"/>
              <w:rPr>
                <w:sz w:val="13"/>
                <w:szCs w:val="13"/>
                <w:color w:val="auto"/>
              </w:rPr>
            </w:pPr>
          </w:p>
        </w:tc>
        <w:tc>
          <w:tcPr>
            <w:tcW w:w="660" w:type="dxa"/>
            <w:vAlign w:val="bottom"/>
            <w:shd w:val="clear" w:color="auto" w:fill="D0DBE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90" w:type="dxa"/>
            <w:vAlign w:val="bottom"/>
            <w:shd w:val="clear" w:color="auto" w:fill="D0DBEF"/>
          </w:tcPr>
          <w:p>
            <w:pPr>
              <w:ind w:left="140"/>
              <w:spacing w:after="0" w:line="122" w:lineRule="exact"/>
              <w:rPr>
                <w:sz w:val="20"/>
                <w:szCs w:val="20"/>
                <w:color w:val="auto"/>
              </w:rPr>
            </w:pPr>
            <w:r>
              <w:rPr>
                <w:rFonts w:ascii="Arial" w:cs="Arial" w:eastAsia="Arial" w:hAnsi="Arial"/>
                <w:sz w:val="13"/>
                <w:szCs w:val="13"/>
                <w:color w:val="auto"/>
              </w:rPr>
              <w:t>M.D., Ph.D.</w:t>
            </w:r>
          </w:p>
        </w:tc>
        <w:tc>
          <w:tcPr>
            <w:tcW w:w="950" w:type="dxa"/>
            <w:vAlign w:val="bottom"/>
            <w:shd w:val="clear" w:color="auto" w:fill="D0DBEF"/>
          </w:tcPr>
          <w:p>
            <w:pPr>
              <w:jc w:val="right"/>
              <w:ind w:right="53"/>
              <w:spacing w:after="0" w:line="122" w:lineRule="exact"/>
              <w:rPr>
                <w:sz w:val="20"/>
                <w:szCs w:val="20"/>
                <w:color w:val="auto"/>
              </w:rPr>
            </w:pPr>
            <w:r>
              <w:rPr>
                <w:rFonts w:ascii="Arial" w:cs="Arial" w:eastAsia="Arial" w:hAnsi="Arial"/>
                <w:sz w:val="13"/>
                <w:szCs w:val="13"/>
                <w:color w:val="auto"/>
              </w:rPr>
              <w:t>—</w:t>
            </w:r>
          </w:p>
        </w:tc>
        <w:tc>
          <w:tcPr>
            <w:tcW w:w="1020" w:type="dxa"/>
            <w:vAlign w:val="bottom"/>
            <w:vMerge w:val="continue"/>
            <w:shd w:val="clear" w:color="auto" w:fill="D0DBEF"/>
          </w:tcPr>
          <w:p>
            <w:pPr>
              <w:spacing w:after="0"/>
              <w:rPr>
                <w:sz w:val="10"/>
                <w:szCs w:val="10"/>
                <w:color w:val="auto"/>
              </w:rPr>
            </w:pPr>
          </w:p>
        </w:tc>
        <w:tc>
          <w:tcPr>
            <w:tcW w:w="920" w:type="dxa"/>
            <w:vAlign w:val="bottom"/>
            <w:shd w:val="clear" w:color="auto" w:fill="D0DBEF"/>
          </w:tcPr>
          <w:p>
            <w:pPr>
              <w:jc w:val="right"/>
              <w:ind w:right="73"/>
              <w:spacing w:after="0" w:line="122" w:lineRule="exact"/>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line="122" w:lineRule="exact"/>
              <w:rPr>
                <w:sz w:val="20"/>
                <w:szCs w:val="20"/>
                <w:color w:val="auto"/>
              </w:rPr>
            </w:pPr>
            <w:r>
              <w:rPr>
                <w:rFonts w:ascii="Arial" w:cs="Arial" w:eastAsia="Arial" w:hAnsi="Arial"/>
                <w:sz w:val="13"/>
                <w:szCs w:val="13"/>
                <w:color w:val="auto"/>
              </w:rPr>
              <w:t>555.67</w:t>
            </w:r>
          </w:p>
        </w:tc>
        <w:tc>
          <w:tcPr>
            <w:tcW w:w="860" w:type="dxa"/>
            <w:vAlign w:val="bottom"/>
            <w:shd w:val="clear" w:color="auto" w:fill="D0DBEF"/>
          </w:tcPr>
          <w:p>
            <w:pPr>
              <w:jc w:val="right"/>
              <w:ind w:right="53"/>
              <w:spacing w:after="0" w:line="122" w:lineRule="exact"/>
              <w:rPr>
                <w:sz w:val="20"/>
                <w:szCs w:val="20"/>
                <w:color w:val="auto"/>
              </w:rPr>
            </w:pPr>
            <w:r>
              <w:rPr>
                <w:rFonts w:ascii="Arial" w:cs="Arial" w:eastAsia="Arial" w:hAnsi="Arial"/>
                <w:sz w:val="13"/>
                <w:szCs w:val="13"/>
                <w:color w:val="auto"/>
              </w:rPr>
              <w:t>12/16/2025</w:t>
            </w:r>
          </w:p>
        </w:tc>
        <w:tc>
          <w:tcPr>
            <w:tcW w:w="700" w:type="dxa"/>
            <w:vAlign w:val="bottom"/>
            <w:shd w:val="clear" w:color="auto" w:fill="D0DBEF"/>
          </w:tcPr>
          <w:p>
            <w:pPr>
              <w:jc w:val="right"/>
              <w:ind w:right="73"/>
              <w:spacing w:after="0" w:line="122" w:lineRule="exact"/>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line="122" w:lineRule="exact"/>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43,181</w:t>
            </w:r>
          </w:p>
        </w:tc>
        <w:tc>
          <w:tcPr>
            <w:tcW w:w="1020" w:type="dxa"/>
            <w:vAlign w:val="bottom"/>
            <w:shd w:val="clear" w:color="auto" w:fill="D0DBEF"/>
          </w:tcPr>
          <w:p>
            <w:pPr>
              <w:jc w:val="right"/>
              <w:ind w:right="14"/>
              <w:spacing w:after="0" w:line="152" w:lineRule="exact"/>
              <w:rPr>
                <w:sz w:val="20"/>
                <w:szCs w:val="20"/>
                <w:color w:val="auto"/>
              </w:rPr>
            </w:pPr>
            <w:r>
              <w:rPr>
                <w:rFonts w:ascii="Arial" w:cs="Arial" w:eastAsia="Arial" w:hAnsi="Arial"/>
                <w:sz w:val="12"/>
                <w:szCs w:val="12"/>
                <w:color w:val="auto"/>
              </w:rPr>
              <w:t>129,542</w:t>
            </w:r>
            <w:r>
              <w:rPr>
                <w:rFonts w:ascii="Arial" w:cs="Arial" w:eastAsia="Arial" w:hAnsi="Arial"/>
                <w:sz w:val="17"/>
                <w:szCs w:val="17"/>
                <w:color w:val="5668B0"/>
                <w:vertAlign w:val="superscript"/>
              </w:rPr>
              <w:t>2</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399.66</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12/16/2024</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101,602</w:t>
            </w:r>
          </w:p>
        </w:tc>
        <w:tc>
          <w:tcPr>
            <w:tcW w:w="1020" w:type="dxa"/>
            <w:vAlign w:val="bottom"/>
            <w:shd w:val="clear" w:color="auto" w:fill="D0DBEF"/>
          </w:tcPr>
          <w:p>
            <w:pPr>
              <w:jc w:val="right"/>
              <w:ind w:right="14"/>
              <w:spacing w:after="0" w:line="152" w:lineRule="exact"/>
              <w:rPr>
                <w:sz w:val="20"/>
                <w:szCs w:val="20"/>
                <w:color w:val="auto"/>
              </w:rPr>
            </w:pPr>
            <w:r>
              <w:rPr>
                <w:rFonts w:ascii="Arial" w:cs="Arial" w:eastAsia="Arial" w:hAnsi="Arial"/>
                <w:sz w:val="12"/>
                <w:szCs w:val="12"/>
                <w:color w:val="auto"/>
              </w:rPr>
              <w:t>101,602</w:t>
            </w:r>
            <w:r>
              <w:rPr>
                <w:rFonts w:ascii="Arial" w:cs="Arial" w:eastAsia="Arial" w:hAnsi="Arial"/>
                <w:sz w:val="17"/>
                <w:szCs w:val="17"/>
                <w:color w:val="5668B0"/>
                <w:vertAlign w:val="superscript"/>
              </w:rPr>
              <w:t>3</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270.43</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12/13/2023</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990" w:type="dxa"/>
            <w:vAlign w:val="bottom"/>
            <w:shd w:val="clear" w:color="auto" w:fill="D0DBEF"/>
          </w:tcPr>
          <w:p>
            <w:pPr>
              <w:spacing w:after="0"/>
              <w:rPr>
                <w:sz w:val="15"/>
                <w:szCs w:val="15"/>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179,298</w:t>
            </w:r>
          </w:p>
        </w:tc>
        <w:tc>
          <w:tcPr>
            <w:tcW w:w="1020" w:type="dxa"/>
            <w:vAlign w:val="bottom"/>
            <w:shd w:val="clear" w:color="auto" w:fill="D0DBEF"/>
          </w:tcPr>
          <w:p>
            <w:pPr>
              <w:jc w:val="right"/>
              <w:ind w:right="14"/>
              <w:spacing w:after="0" w:line="177" w:lineRule="exact"/>
              <w:rPr>
                <w:sz w:val="20"/>
                <w:szCs w:val="20"/>
                <w:color w:val="auto"/>
              </w:rPr>
            </w:pPr>
            <w:r>
              <w:rPr>
                <w:rFonts w:ascii="Arial" w:cs="Arial" w:eastAsia="Arial" w:hAnsi="Arial"/>
                <w:sz w:val="13"/>
                <w:szCs w:val="13"/>
                <w:color w:val="auto"/>
              </w:rPr>
              <w:t>59,765</w:t>
            </w:r>
            <w:r>
              <w:rPr>
                <w:rFonts w:ascii="Arial" w:cs="Arial" w:eastAsia="Arial" w:hAnsi="Arial"/>
                <w:sz w:val="20"/>
                <w:szCs w:val="20"/>
                <w:color w:val="5668B0"/>
                <w:vertAlign w:val="superscript"/>
              </w:rPr>
              <w:t>4</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179.13</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12/14/2022</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158,079</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52.03</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240,000</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52.03</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96,736</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30.63</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12/14/2020</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30.63</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12/14/2020</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21.25</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12/18/2019</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95,295</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21.25</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12/18/2019</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94,048</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16.80</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12/17/2018</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16.80</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12/17/2018</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D0DBEF"/>
          </w:tcPr>
          <w:p>
            <w:pPr>
              <w:spacing w:after="0"/>
              <w:rPr>
                <w:sz w:val="13"/>
                <w:szCs w:val="13"/>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195,438</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21.92</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12/17/2017</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990" w:type="dxa"/>
            <w:vAlign w:val="bottom"/>
            <w:shd w:val="clear" w:color="auto" w:fill="D0DBEF"/>
          </w:tcPr>
          <w:p>
            <w:pPr>
              <w:spacing w:after="0"/>
              <w:rPr>
                <w:sz w:val="11"/>
                <w:szCs w:val="11"/>
                <w:color w:val="auto"/>
              </w:rPr>
            </w:pPr>
          </w:p>
        </w:tc>
        <w:tc>
          <w:tcPr>
            <w:tcW w:w="950" w:type="dxa"/>
            <w:vAlign w:val="bottom"/>
            <w:shd w:val="clear" w:color="auto" w:fill="D0DBEF"/>
          </w:tcPr>
          <w:p>
            <w:pPr>
              <w:jc w:val="right"/>
              <w:ind w:right="53"/>
              <w:spacing w:after="0" w:line="127" w:lineRule="exact"/>
              <w:rPr>
                <w:sz w:val="20"/>
                <w:szCs w:val="20"/>
                <w:color w:val="auto"/>
              </w:rPr>
            </w:pPr>
            <w:r>
              <w:rPr>
                <w:rFonts w:ascii="Arial" w:cs="Arial" w:eastAsia="Arial" w:hAnsi="Arial"/>
                <w:sz w:val="13"/>
                <w:szCs w:val="13"/>
                <w:color w:val="auto"/>
              </w:rPr>
              <w:t>195,079</w:t>
            </w:r>
          </w:p>
        </w:tc>
        <w:tc>
          <w:tcPr>
            <w:tcW w:w="1020" w:type="dxa"/>
            <w:vAlign w:val="bottom"/>
            <w:shd w:val="clear" w:color="auto" w:fill="D0DBEF"/>
          </w:tcPr>
          <w:p>
            <w:pPr>
              <w:jc w:val="right"/>
              <w:ind w:right="74"/>
              <w:spacing w:after="0" w:line="127" w:lineRule="exact"/>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line="127" w:lineRule="exact"/>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line="127" w:lineRule="exact"/>
              <w:rPr>
                <w:sz w:val="20"/>
                <w:szCs w:val="20"/>
                <w:color w:val="auto"/>
              </w:rPr>
            </w:pPr>
            <w:r>
              <w:rPr>
                <w:rFonts w:ascii="Arial" w:cs="Arial" w:eastAsia="Arial" w:hAnsi="Arial"/>
                <w:sz w:val="13"/>
                <w:szCs w:val="13"/>
                <w:color w:val="auto"/>
              </w:rPr>
              <w:t>20.32</w:t>
            </w:r>
          </w:p>
        </w:tc>
        <w:tc>
          <w:tcPr>
            <w:tcW w:w="860" w:type="dxa"/>
            <w:vAlign w:val="bottom"/>
            <w:shd w:val="clear" w:color="auto" w:fill="D0DBEF"/>
          </w:tcPr>
          <w:p>
            <w:pPr>
              <w:jc w:val="right"/>
              <w:ind w:right="53"/>
              <w:spacing w:after="0" w:line="127" w:lineRule="exact"/>
              <w:rPr>
                <w:sz w:val="20"/>
                <w:szCs w:val="20"/>
                <w:color w:val="auto"/>
              </w:rPr>
            </w:pPr>
            <w:r>
              <w:rPr>
                <w:rFonts w:ascii="Arial" w:cs="Arial" w:eastAsia="Arial" w:hAnsi="Arial"/>
                <w:sz w:val="13"/>
                <w:szCs w:val="13"/>
                <w:color w:val="auto"/>
              </w:rPr>
              <w:t>12/18/2016</w:t>
            </w:r>
          </w:p>
        </w:tc>
        <w:tc>
          <w:tcPr>
            <w:tcW w:w="700" w:type="dxa"/>
            <w:vAlign w:val="bottom"/>
            <w:shd w:val="clear" w:color="auto" w:fill="D0DBEF"/>
          </w:tcPr>
          <w:p>
            <w:pPr>
              <w:jc w:val="right"/>
              <w:ind w:right="73"/>
              <w:spacing w:after="0" w:line="127" w:lineRule="exact"/>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33"/>
              <w:spacing w:after="0" w:line="127" w:lineRule="exact"/>
              <w:rPr>
                <w:sz w:val="20"/>
                <w:szCs w:val="20"/>
                <w:color w:val="auto"/>
              </w:rPr>
            </w:pPr>
            <w:r>
              <w:rPr>
                <w:rFonts w:ascii="Arial" w:cs="Arial" w:eastAsia="Arial" w:hAnsi="Arial"/>
                <w:sz w:val="13"/>
                <w:szCs w:val="13"/>
                <w:color w:val="auto"/>
              </w:rPr>
              <w:t>—</w:t>
            </w:r>
          </w:p>
        </w:tc>
        <w:tc>
          <w:tcPr>
            <w:tcW w:w="780" w:type="dxa"/>
            <w:vAlign w:val="bottom"/>
            <w:shd w:val="clear" w:color="auto" w:fill="D0DBEF"/>
          </w:tcPr>
          <w:p>
            <w:pPr>
              <w:jc w:val="right"/>
              <w:ind w:right="53"/>
              <w:spacing w:after="0" w:line="127" w:lineRule="exact"/>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line="12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990" w:type="dxa"/>
            <w:vAlign w:val="bottom"/>
            <w:shd w:val="clear" w:color="auto" w:fill="D0DBEF"/>
          </w:tcPr>
          <w:p>
            <w:pPr>
              <w:spacing w:after="0"/>
              <w:rPr>
                <w:sz w:val="15"/>
                <w:szCs w:val="15"/>
                <w:color w:val="auto"/>
              </w:rPr>
            </w:pPr>
          </w:p>
        </w:tc>
        <w:tc>
          <w:tcPr>
            <w:tcW w:w="95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shd w:val="clear" w:color="auto" w:fill="D0DBEF"/>
          </w:tcPr>
          <w:p>
            <w:pPr>
              <w:jc w:val="right"/>
              <w:ind w:right="13"/>
              <w:spacing w:after="0" w:line="177" w:lineRule="exact"/>
              <w:rPr>
                <w:sz w:val="20"/>
                <w:szCs w:val="20"/>
                <w:color w:val="auto"/>
              </w:rPr>
            </w:pPr>
            <w:r>
              <w:rPr>
                <w:rFonts w:ascii="Arial" w:cs="Arial" w:eastAsia="Arial" w:hAnsi="Arial"/>
                <w:sz w:val="13"/>
                <w:szCs w:val="13"/>
                <w:color w:val="auto"/>
              </w:rPr>
              <w:t>500,000</w:t>
            </w:r>
            <w:r>
              <w:rPr>
                <w:rFonts w:ascii="Arial" w:cs="Arial" w:eastAsia="Arial" w:hAnsi="Arial"/>
                <w:sz w:val="20"/>
                <w:szCs w:val="20"/>
                <w:color w:val="5668B0"/>
                <w:vertAlign w:val="superscript"/>
              </w:rPr>
              <w:t>6</w:t>
            </w:r>
          </w:p>
        </w:tc>
        <w:tc>
          <w:tcPr>
            <w:tcW w:w="86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542.87</w:t>
            </w:r>
          </w:p>
        </w:tc>
        <w:tc>
          <w:tcPr>
            <w:tcW w:w="7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990" w:type="dxa"/>
            <w:vAlign w:val="bottom"/>
            <w:tcBorders>
              <w:bottom w:val="single" w:sz="8" w:color="5668B0"/>
            </w:tcBorders>
            <w:shd w:val="clear" w:color="auto" w:fill="D0DBEF"/>
          </w:tcPr>
          <w:p>
            <w:pPr>
              <w:ind w:left="20"/>
              <w:spacing w:after="0"/>
              <w:rPr>
                <w:sz w:val="20"/>
                <w:szCs w:val="20"/>
                <w:color w:val="auto"/>
              </w:rPr>
            </w:pPr>
            <w:r>
              <w:rPr>
                <w:rFonts w:ascii="Arial" w:cs="Arial" w:eastAsia="Arial" w:hAnsi="Arial"/>
                <w:sz w:val="13"/>
                <w:szCs w:val="13"/>
                <w:b w:val="1"/>
                <w:bCs w:val="1"/>
                <w:color w:val="auto"/>
              </w:rPr>
              <w:t>TOTAL</w:t>
            </w:r>
          </w:p>
        </w:tc>
        <w:tc>
          <w:tcPr>
            <w:tcW w:w="950" w:type="dxa"/>
            <w:vAlign w:val="bottom"/>
            <w:tcBorders>
              <w:bottom w:val="single" w:sz="8" w:color="5668B0"/>
            </w:tcBorders>
            <w:shd w:val="clear" w:color="auto" w:fill="D0DBEF"/>
          </w:tcPr>
          <w:p>
            <w:pPr>
              <w:jc w:val="right"/>
              <w:ind w:right="53"/>
              <w:spacing w:after="0"/>
              <w:rPr>
                <w:sz w:val="20"/>
                <w:szCs w:val="20"/>
                <w:color w:val="auto"/>
              </w:rPr>
            </w:pPr>
            <w:r>
              <w:rPr>
                <w:rFonts w:ascii="Arial" w:cs="Arial" w:eastAsia="Arial" w:hAnsi="Arial"/>
                <w:sz w:val="13"/>
                <w:szCs w:val="13"/>
                <w:b w:val="1"/>
                <w:bCs w:val="1"/>
                <w:color w:val="auto"/>
              </w:rPr>
              <w:t>1,848,756</w:t>
            </w:r>
          </w:p>
        </w:tc>
        <w:tc>
          <w:tcPr>
            <w:tcW w:w="1020" w:type="dxa"/>
            <w:vAlign w:val="bottom"/>
            <w:tcBorders>
              <w:bottom w:val="single" w:sz="8" w:color="5668B0"/>
            </w:tcBorders>
            <w:shd w:val="clear" w:color="auto" w:fill="D0DBEF"/>
          </w:tcPr>
          <w:p>
            <w:pPr>
              <w:jc w:val="right"/>
              <w:ind w:right="74"/>
              <w:spacing w:after="0"/>
              <w:rPr>
                <w:sz w:val="20"/>
                <w:szCs w:val="20"/>
                <w:color w:val="auto"/>
              </w:rPr>
            </w:pPr>
            <w:r>
              <w:rPr>
                <w:rFonts w:ascii="Arial" w:cs="Arial" w:eastAsia="Arial" w:hAnsi="Arial"/>
                <w:sz w:val="13"/>
                <w:szCs w:val="13"/>
                <w:b w:val="1"/>
                <w:bCs w:val="1"/>
                <w:color w:val="auto"/>
              </w:rPr>
              <w:t>437,724</w:t>
            </w:r>
          </w:p>
        </w:tc>
        <w:tc>
          <w:tcPr>
            <w:tcW w:w="920" w:type="dxa"/>
            <w:vAlign w:val="bottom"/>
            <w:tcBorders>
              <w:bottom w:val="single" w:sz="8" w:color="5668B0"/>
            </w:tcBorders>
            <w:shd w:val="clear" w:color="auto" w:fill="D0DBEF"/>
          </w:tcPr>
          <w:p>
            <w:pPr>
              <w:spacing w:after="0"/>
              <w:rPr>
                <w:sz w:val="16"/>
                <w:szCs w:val="16"/>
                <w:color w:val="auto"/>
              </w:rPr>
            </w:pPr>
          </w:p>
        </w:tc>
        <w:tc>
          <w:tcPr>
            <w:tcW w:w="700" w:type="dxa"/>
            <w:vAlign w:val="bottom"/>
            <w:tcBorders>
              <w:bottom w:val="single" w:sz="8" w:color="5668B0"/>
            </w:tcBorders>
            <w:shd w:val="clear" w:color="auto" w:fill="D0DBEF"/>
          </w:tcPr>
          <w:p>
            <w:pPr>
              <w:spacing w:after="0"/>
              <w:rPr>
                <w:sz w:val="16"/>
                <w:szCs w:val="16"/>
                <w:color w:val="auto"/>
              </w:rPr>
            </w:pPr>
          </w:p>
        </w:tc>
        <w:tc>
          <w:tcPr>
            <w:tcW w:w="860" w:type="dxa"/>
            <w:vAlign w:val="bottom"/>
            <w:tcBorders>
              <w:bottom w:val="single" w:sz="8" w:color="5668B0"/>
            </w:tcBorders>
            <w:shd w:val="clear" w:color="auto" w:fill="D0DBEF"/>
          </w:tcPr>
          <w:p>
            <w:pPr>
              <w:spacing w:after="0"/>
              <w:rPr>
                <w:sz w:val="16"/>
                <w:szCs w:val="16"/>
                <w:color w:val="auto"/>
              </w:rPr>
            </w:pPr>
          </w:p>
        </w:tc>
        <w:tc>
          <w:tcPr>
            <w:tcW w:w="700" w:type="dxa"/>
            <w:vAlign w:val="bottom"/>
            <w:tcBorders>
              <w:bottom w:val="single" w:sz="8" w:color="5668B0"/>
            </w:tcBorders>
            <w:shd w:val="clear" w:color="auto" w:fill="D0DBEF"/>
          </w:tcPr>
          <w:p>
            <w:pPr>
              <w:jc w:val="right"/>
              <w:ind w:right="73"/>
              <w:spacing w:after="0"/>
              <w:rPr>
                <w:sz w:val="20"/>
                <w:szCs w:val="20"/>
                <w:color w:val="auto"/>
              </w:rPr>
            </w:pPr>
            <w:r>
              <w:rPr>
                <w:rFonts w:ascii="Arial" w:cs="Arial" w:eastAsia="Arial" w:hAnsi="Arial"/>
                <w:sz w:val="13"/>
                <w:szCs w:val="13"/>
                <w:b w:val="1"/>
                <w:bCs w:val="1"/>
                <w:color w:val="auto"/>
              </w:rPr>
              <w:t>500,000</w:t>
            </w:r>
          </w:p>
        </w:tc>
        <w:tc>
          <w:tcPr>
            <w:tcW w:w="860" w:type="dxa"/>
            <w:vAlign w:val="bottom"/>
            <w:tcBorders>
              <w:bottom w:val="single" w:sz="8" w:color="5668B0"/>
            </w:tcBorders>
            <w:shd w:val="clear" w:color="auto" w:fill="D0DBEF"/>
          </w:tcPr>
          <w:p>
            <w:pPr>
              <w:spacing w:after="0"/>
              <w:rPr>
                <w:sz w:val="16"/>
                <w:szCs w:val="16"/>
                <w:color w:val="auto"/>
              </w:rPr>
            </w:pPr>
          </w:p>
        </w:tc>
        <w:tc>
          <w:tcPr>
            <w:tcW w:w="780" w:type="dxa"/>
            <w:vAlign w:val="bottom"/>
            <w:tcBorders>
              <w:bottom w:val="single" w:sz="8" w:color="5668B0"/>
            </w:tcBorders>
            <w:shd w:val="clear" w:color="auto" w:fill="D0DBEF"/>
          </w:tcPr>
          <w:p>
            <w:pPr>
              <w:spacing w:after="0"/>
              <w:rPr>
                <w:sz w:val="16"/>
                <w:szCs w:val="16"/>
                <w:color w:val="auto"/>
              </w:rPr>
            </w:pPr>
          </w:p>
        </w:tc>
        <w:tc>
          <w:tcPr>
            <w:tcW w:w="660" w:type="dxa"/>
            <w:vAlign w:val="bottom"/>
            <w:tcBorders>
              <w:bottom w:val="single" w:sz="8" w:color="5668B0"/>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990" w:type="dxa"/>
            <w:vAlign w:val="bottom"/>
            <w:shd w:val="clear" w:color="auto" w:fill="E6ECF8"/>
          </w:tcPr>
          <w:p>
            <w:pPr>
              <w:ind w:left="20"/>
              <w:spacing w:after="0"/>
              <w:rPr>
                <w:sz w:val="20"/>
                <w:szCs w:val="20"/>
                <w:color w:val="auto"/>
              </w:rPr>
            </w:pPr>
            <w:r>
              <w:rPr>
                <w:rFonts w:ascii="Arial" w:cs="Arial" w:eastAsia="Arial" w:hAnsi="Arial"/>
                <w:sz w:val="13"/>
                <w:szCs w:val="13"/>
                <w:color w:val="auto"/>
              </w:rPr>
              <w:t>Robert E.</w:t>
            </w:r>
          </w:p>
        </w:tc>
        <w:tc>
          <w:tcPr>
            <w:tcW w:w="950" w:type="dxa"/>
            <w:vAlign w:val="bottom"/>
            <w:shd w:val="clear" w:color="auto" w:fill="E6ECF8"/>
          </w:tcPr>
          <w:p>
            <w:pPr>
              <w:spacing w:after="0"/>
              <w:rPr>
                <w:sz w:val="12"/>
                <w:szCs w:val="12"/>
                <w:color w:val="auto"/>
              </w:rPr>
            </w:pPr>
          </w:p>
        </w:tc>
        <w:tc>
          <w:tcPr>
            <w:tcW w:w="1020" w:type="dxa"/>
            <w:vAlign w:val="bottom"/>
            <w:vMerge w:val="restart"/>
            <w:shd w:val="clear" w:color="auto" w:fill="E6ECF8"/>
          </w:tcPr>
          <w:p>
            <w:pPr>
              <w:jc w:val="right"/>
              <w:ind w:right="14"/>
              <w:spacing w:after="0"/>
              <w:rPr>
                <w:sz w:val="20"/>
                <w:szCs w:val="20"/>
                <w:color w:val="auto"/>
              </w:rPr>
            </w:pPr>
            <w:r>
              <w:rPr>
                <w:rFonts w:ascii="Arial" w:cs="Arial" w:eastAsia="Arial" w:hAnsi="Arial"/>
                <w:sz w:val="13"/>
                <w:szCs w:val="13"/>
                <w:color w:val="auto"/>
              </w:rPr>
              <w:t>28,900</w:t>
            </w:r>
            <w:r>
              <w:rPr>
                <w:rFonts w:ascii="Arial" w:cs="Arial" w:eastAsia="Arial" w:hAnsi="Arial"/>
                <w:sz w:val="20"/>
                <w:szCs w:val="20"/>
                <w:color w:val="5668B0"/>
                <w:vertAlign w:val="superscript"/>
              </w:rPr>
              <w:t>1</w:t>
            </w:r>
          </w:p>
        </w:tc>
        <w:tc>
          <w:tcPr>
            <w:tcW w:w="920" w:type="dxa"/>
            <w:vAlign w:val="bottom"/>
            <w:shd w:val="clear" w:color="auto" w:fill="E6ECF8"/>
          </w:tcPr>
          <w:p>
            <w:pPr>
              <w:spacing w:after="0"/>
              <w:rPr>
                <w:sz w:val="12"/>
                <w:szCs w:val="12"/>
                <w:color w:val="auto"/>
              </w:rPr>
            </w:pPr>
          </w:p>
        </w:tc>
        <w:tc>
          <w:tcPr>
            <w:tcW w:w="700" w:type="dxa"/>
            <w:vAlign w:val="bottom"/>
            <w:shd w:val="clear" w:color="auto" w:fill="E6ECF8"/>
          </w:tcPr>
          <w:p>
            <w:pPr>
              <w:spacing w:after="0"/>
              <w:rPr>
                <w:sz w:val="12"/>
                <w:szCs w:val="12"/>
                <w:color w:val="auto"/>
              </w:rPr>
            </w:pPr>
          </w:p>
        </w:tc>
        <w:tc>
          <w:tcPr>
            <w:tcW w:w="860" w:type="dxa"/>
            <w:vAlign w:val="bottom"/>
            <w:shd w:val="clear" w:color="auto" w:fill="E6ECF8"/>
          </w:tcPr>
          <w:p>
            <w:pPr>
              <w:spacing w:after="0"/>
              <w:rPr>
                <w:sz w:val="12"/>
                <w:szCs w:val="12"/>
                <w:color w:val="auto"/>
              </w:rPr>
            </w:pPr>
          </w:p>
        </w:tc>
        <w:tc>
          <w:tcPr>
            <w:tcW w:w="700" w:type="dxa"/>
            <w:vAlign w:val="bottom"/>
            <w:shd w:val="clear" w:color="auto" w:fill="E6ECF8"/>
          </w:tcPr>
          <w:p>
            <w:pPr>
              <w:spacing w:after="0"/>
              <w:rPr>
                <w:sz w:val="12"/>
                <w:szCs w:val="12"/>
                <w:color w:val="auto"/>
              </w:rPr>
            </w:pPr>
          </w:p>
        </w:tc>
        <w:tc>
          <w:tcPr>
            <w:tcW w:w="860" w:type="dxa"/>
            <w:vAlign w:val="bottom"/>
            <w:shd w:val="clear" w:color="auto" w:fill="E6ECF8"/>
          </w:tcPr>
          <w:p>
            <w:pPr>
              <w:spacing w:after="0"/>
              <w:rPr>
                <w:sz w:val="12"/>
                <w:szCs w:val="12"/>
                <w:color w:val="auto"/>
              </w:rPr>
            </w:pPr>
          </w:p>
        </w:tc>
        <w:tc>
          <w:tcPr>
            <w:tcW w:w="780" w:type="dxa"/>
            <w:vAlign w:val="bottom"/>
            <w:shd w:val="clear" w:color="auto" w:fill="E6ECF8"/>
          </w:tcPr>
          <w:p>
            <w:pPr>
              <w:spacing w:after="0"/>
              <w:rPr>
                <w:sz w:val="12"/>
                <w:szCs w:val="12"/>
                <w:color w:val="auto"/>
              </w:rPr>
            </w:pPr>
          </w:p>
        </w:tc>
        <w:tc>
          <w:tcPr>
            <w:tcW w:w="660" w:type="dxa"/>
            <w:vAlign w:val="bottom"/>
            <w:shd w:val="clear" w:color="auto" w:fill="E6ECF8"/>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990" w:type="dxa"/>
            <w:vAlign w:val="bottom"/>
            <w:shd w:val="clear" w:color="auto" w:fill="E6ECF8"/>
          </w:tcPr>
          <w:p>
            <w:pPr>
              <w:ind w:left="140"/>
              <w:spacing w:after="0" w:line="122" w:lineRule="exact"/>
              <w:rPr>
                <w:sz w:val="20"/>
                <w:szCs w:val="20"/>
                <w:color w:val="auto"/>
              </w:rPr>
            </w:pPr>
            <w:r>
              <w:rPr>
                <w:rFonts w:ascii="Arial" w:cs="Arial" w:eastAsia="Arial" w:hAnsi="Arial"/>
                <w:sz w:val="13"/>
                <w:szCs w:val="13"/>
                <w:color w:val="auto"/>
              </w:rPr>
              <w:t>Landry</w:t>
            </w:r>
          </w:p>
        </w:tc>
        <w:tc>
          <w:tcPr>
            <w:tcW w:w="950" w:type="dxa"/>
            <w:vAlign w:val="bottom"/>
            <w:shd w:val="clear" w:color="auto" w:fill="E6ECF8"/>
          </w:tcPr>
          <w:p>
            <w:pPr>
              <w:jc w:val="right"/>
              <w:ind w:right="53"/>
              <w:spacing w:after="0" w:line="122" w:lineRule="exact"/>
              <w:rPr>
                <w:sz w:val="20"/>
                <w:szCs w:val="20"/>
                <w:color w:val="auto"/>
              </w:rPr>
            </w:pPr>
            <w:r>
              <w:rPr>
                <w:rFonts w:ascii="Arial" w:cs="Arial" w:eastAsia="Arial" w:hAnsi="Arial"/>
                <w:sz w:val="13"/>
                <w:szCs w:val="13"/>
                <w:color w:val="auto"/>
              </w:rPr>
              <w:t>—</w:t>
            </w:r>
          </w:p>
        </w:tc>
        <w:tc>
          <w:tcPr>
            <w:tcW w:w="1020" w:type="dxa"/>
            <w:vAlign w:val="bottom"/>
            <w:vMerge w:val="continue"/>
            <w:shd w:val="clear" w:color="auto" w:fill="E6ECF8"/>
          </w:tcPr>
          <w:p>
            <w:pPr>
              <w:spacing w:after="0"/>
              <w:rPr>
                <w:sz w:val="10"/>
                <w:szCs w:val="10"/>
                <w:color w:val="auto"/>
              </w:rPr>
            </w:pPr>
          </w:p>
        </w:tc>
        <w:tc>
          <w:tcPr>
            <w:tcW w:w="920" w:type="dxa"/>
            <w:vAlign w:val="bottom"/>
            <w:shd w:val="clear" w:color="auto" w:fill="E6ECF8"/>
          </w:tcPr>
          <w:p>
            <w:pPr>
              <w:jc w:val="right"/>
              <w:ind w:right="73"/>
              <w:spacing w:after="0" w:line="122" w:lineRule="exact"/>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line="122" w:lineRule="exact"/>
              <w:rPr>
                <w:sz w:val="20"/>
                <w:szCs w:val="20"/>
                <w:color w:val="auto"/>
              </w:rPr>
            </w:pPr>
            <w:r>
              <w:rPr>
                <w:rFonts w:ascii="Arial" w:cs="Arial" w:eastAsia="Arial" w:hAnsi="Arial"/>
                <w:sz w:val="13"/>
                <w:szCs w:val="13"/>
                <w:color w:val="auto"/>
              </w:rPr>
              <w:t>555.67</w:t>
            </w:r>
          </w:p>
        </w:tc>
        <w:tc>
          <w:tcPr>
            <w:tcW w:w="860" w:type="dxa"/>
            <w:vAlign w:val="bottom"/>
            <w:shd w:val="clear" w:color="auto" w:fill="E6ECF8"/>
          </w:tcPr>
          <w:p>
            <w:pPr>
              <w:jc w:val="right"/>
              <w:ind w:right="53"/>
              <w:spacing w:after="0" w:line="122" w:lineRule="exact"/>
              <w:rPr>
                <w:sz w:val="20"/>
                <w:szCs w:val="20"/>
                <w:color w:val="auto"/>
              </w:rPr>
            </w:pPr>
            <w:r>
              <w:rPr>
                <w:rFonts w:ascii="Arial" w:cs="Arial" w:eastAsia="Arial" w:hAnsi="Arial"/>
                <w:sz w:val="13"/>
                <w:szCs w:val="13"/>
                <w:color w:val="auto"/>
              </w:rPr>
              <w:t>12/16/2025</w:t>
            </w:r>
          </w:p>
        </w:tc>
        <w:tc>
          <w:tcPr>
            <w:tcW w:w="700" w:type="dxa"/>
            <w:vAlign w:val="bottom"/>
            <w:shd w:val="clear" w:color="auto" w:fill="E6ECF8"/>
          </w:tcPr>
          <w:p>
            <w:pPr>
              <w:jc w:val="right"/>
              <w:ind w:right="73"/>
              <w:spacing w:after="0" w:line="122" w:lineRule="exact"/>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line="122" w:lineRule="exact"/>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8,500</w:t>
            </w:r>
          </w:p>
        </w:tc>
        <w:tc>
          <w:tcPr>
            <w:tcW w:w="1020" w:type="dxa"/>
            <w:vAlign w:val="bottom"/>
            <w:shd w:val="clear" w:color="auto" w:fill="E6ECF8"/>
          </w:tcPr>
          <w:p>
            <w:pPr>
              <w:jc w:val="right"/>
              <w:ind w:right="14"/>
              <w:spacing w:after="0" w:line="152" w:lineRule="exact"/>
              <w:rPr>
                <w:sz w:val="20"/>
                <w:szCs w:val="20"/>
                <w:color w:val="auto"/>
              </w:rPr>
            </w:pPr>
            <w:r>
              <w:rPr>
                <w:rFonts w:ascii="Arial" w:cs="Arial" w:eastAsia="Arial" w:hAnsi="Arial"/>
                <w:sz w:val="12"/>
                <w:szCs w:val="12"/>
                <w:color w:val="auto"/>
              </w:rPr>
              <w:t>25,500</w:t>
            </w:r>
            <w:r>
              <w:rPr>
                <w:rFonts w:ascii="Arial" w:cs="Arial" w:eastAsia="Arial" w:hAnsi="Arial"/>
                <w:sz w:val="17"/>
                <w:szCs w:val="17"/>
                <w:color w:val="5668B0"/>
                <w:vertAlign w:val="superscript"/>
              </w:rPr>
              <w:t>2</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399.66</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12/16/2024</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990" w:type="dxa"/>
            <w:vAlign w:val="bottom"/>
            <w:shd w:val="clear" w:color="auto" w:fill="E6ECF8"/>
          </w:tcPr>
          <w:p>
            <w:pPr>
              <w:spacing w:after="0"/>
              <w:rPr>
                <w:sz w:val="13"/>
                <w:szCs w:val="13"/>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26,000</w:t>
            </w:r>
          </w:p>
        </w:tc>
        <w:tc>
          <w:tcPr>
            <w:tcW w:w="1020" w:type="dxa"/>
            <w:vAlign w:val="bottom"/>
            <w:shd w:val="clear" w:color="auto" w:fill="E6ECF8"/>
          </w:tcPr>
          <w:p>
            <w:pPr>
              <w:jc w:val="right"/>
              <w:ind w:right="14"/>
              <w:spacing w:after="0" w:line="152" w:lineRule="exact"/>
              <w:rPr>
                <w:sz w:val="20"/>
                <w:szCs w:val="20"/>
                <w:color w:val="auto"/>
              </w:rPr>
            </w:pPr>
            <w:r>
              <w:rPr>
                <w:rFonts w:ascii="Arial" w:cs="Arial" w:eastAsia="Arial" w:hAnsi="Arial"/>
                <w:sz w:val="12"/>
                <w:szCs w:val="12"/>
                <w:color w:val="auto"/>
              </w:rPr>
              <w:t>40,000</w:t>
            </w:r>
            <w:r>
              <w:rPr>
                <w:rFonts w:ascii="Arial" w:cs="Arial" w:eastAsia="Arial" w:hAnsi="Arial"/>
                <w:sz w:val="17"/>
                <w:szCs w:val="17"/>
                <w:color w:val="5668B0"/>
                <w:vertAlign w:val="superscript"/>
              </w:rPr>
              <w:t>7</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272.70</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9/9/2023</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990" w:type="dxa"/>
            <w:vAlign w:val="bottom"/>
            <w:shd w:val="clear" w:color="auto" w:fill="E6ECF8"/>
          </w:tcPr>
          <w:p>
            <w:pPr>
              <w:spacing w:after="0"/>
              <w:rPr>
                <w:sz w:val="15"/>
                <w:szCs w:val="15"/>
                <w:color w:val="auto"/>
              </w:rPr>
            </w:pPr>
          </w:p>
        </w:tc>
        <w:tc>
          <w:tcPr>
            <w:tcW w:w="95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CF8"/>
          </w:tcPr>
          <w:p>
            <w:pPr>
              <w:jc w:val="right"/>
              <w:ind w:right="13"/>
              <w:spacing w:after="0" w:line="177" w:lineRule="exact"/>
              <w:rPr>
                <w:sz w:val="20"/>
                <w:szCs w:val="20"/>
                <w:color w:val="auto"/>
              </w:rPr>
            </w:pPr>
            <w:r>
              <w:rPr>
                <w:rFonts w:ascii="Arial" w:cs="Arial" w:eastAsia="Arial" w:hAnsi="Arial"/>
                <w:sz w:val="13"/>
                <w:szCs w:val="13"/>
                <w:color w:val="auto"/>
              </w:rPr>
              <w:t>5,000</w:t>
            </w:r>
            <w:r>
              <w:rPr>
                <w:rFonts w:ascii="Arial" w:cs="Arial" w:eastAsia="Arial" w:hAnsi="Arial"/>
                <w:sz w:val="20"/>
                <w:szCs w:val="20"/>
                <w:color w:val="5668B0"/>
                <w:vertAlign w:val="superscript"/>
              </w:rPr>
              <w:t>8</w:t>
            </w:r>
          </w:p>
        </w:tc>
        <w:tc>
          <w:tcPr>
            <w:tcW w:w="86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542.87</w:t>
            </w:r>
          </w:p>
        </w:tc>
        <w:tc>
          <w:tcPr>
            <w:tcW w:w="7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990" w:type="dxa"/>
            <w:vAlign w:val="bottom"/>
            <w:tcBorders>
              <w:bottom w:val="single" w:sz="8" w:color="5668B0"/>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950" w:type="dxa"/>
            <w:vAlign w:val="bottom"/>
            <w:tcBorders>
              <w:bottom w:val="single" w:sz="8" w:color="5668B0"/>
            </w:tcBorders>
            <w:shd w:val="clear" w:color="auto" w:fill="E6ECF8"/>
          </w:tcPr>
          <w:p>
            <w:pPr>
              <w:jc w:val="right"/>
              <w:ind w:right="53"/>
              <w:spacing w:after="0"/>
              <w:rPr>
                <w:sz w:val="20"/>
                <w:szCs w:val="20"/>
                <w:color w:val="auto"/>
              </w:rPr>
            </w:pPr>
            <w:r>
              <w:rPr>
                <w:rFonts w:ascii="Arial" w:cs="Arial" w:eastAsia="Arial" w:hAnsi="Arial"/>
                <w:sz w:val="13"/>
                <w:szCs w:val="13"/>
                <w:b w:val="1"/>
                <w:bCs w:val="1"/>
                <w:color w:val="auto"/>
              </w:rPr>
              <w:t>34,500</w:t>
            </w:r>
          </w:p>
        </w:tc>
        <w:tc>
          <w:tcPr>
            <w:tcW w:w="1020" w:type="dxa"/>
            <w:vAlign w:val="bottom"/>
            <w:tcBorders>
              <w:bottom w:val="single" w:sz="8" w:color="5668B0"/>
            </w:tcBorders>
            <w:shd w:val="clear" w:color="auto" w:fill="E6ECF8"/>
          </w:tcPr>
          <w:p>
            <w:pPr>
              <w:jc w:val="right"/>
              <w:ind w:right="74"/>
              <w:spacing w:after="0"/>
              <w:rPr>
                <w:sz w:val="20"/>
                <w:szCs w:val="20"/>
                <w:color w:val="auto"/>
              </w:rPr>
            </w:pPr>
            <w:r>
              <w:rPr>
                <w:rFonts w:ascii="Arial" w:cs="Arial" w:eastAsia="Arial" w:hAnsi="Arial"/>
                <w:sz w:val="13"/>
                <w:szCs w:val="13"/>
                <w:b w:val="1"/>
                <w:bCs w:val="1"/>
                <w:color w:val="auto"/>
              </w:rPr>
              <w:t>94,400</w:t>
            </w:r>
          </w:p>
        </w:tc>
        <w:tc>
          <w:tcPr>
            <w:tcW w:w="920" w:type="dxa"/>
            <w:vAlign w:val="bottom"/>
            <w:tcBorders>
              <w:bottom w:val="single" w:sz="8" w:color="5668B0"/>
            </w:tcBorders>
            <w:shd w:val="clear" w:color="auto" w:fill="E6ECF8"/>
          </w:tcPr>
          <w:p>
            <w:pPr>
              <w:spacing w:after="0"/>
              <w:rPr>
                <w:sz w:val="16"/>
                <w:szCs w:val="16"/>
                <w:color w:val="auto"/>
              </w:rPr>
            </w:pPr>
          </w:p>
        </w:tc>
        <w:tc>
          <w:tcPr>
            <w:tcW w:w="700" w:type="dxa"/>
            <w:vAlign w:val="bottom"/>
            <w:tcBorders>
              <w:bottom w:val="single" w:sz="8" w:color="5668B0"/>
            </w:tcBorders>
            <w:shd w:val="clear" w:color="auto" w:fill="E6ECF8"/>
          </w:tcPr>
          <w:p>
            <w:pPr>
              <w:spacing w:after="0"/>
              <w:rPr>
                <w:sz w:val="16"/>
                <w:szCs w:val="16"/>
                <w:color w:val="auto"/>
              </w:rPr>
            </w:pPr>
          </w:p>
        </w:tc>
        <w:tc>
          <w:tcPr>
            <w:tcW w:w="860" w:type="dxa"/>
            <w:vAlign w:val="bottom"/>
            <w:tcBorders>
              <w:bottom w:val="single" w:sz="8" w:color="5668B0"/>
            </w:tcBorders>
            <w:shd w:val="clear" w:color="auto" w:fill="E6ECF8"/>
          </w:tcPr>
          <w:p>
            <w:pPr>
              <w:spacing w:after="0"/>
              <w:rPr>
                <w:sz w:val="16"/>
                <w:szCs w:val="16"/>
                <w:color w:val="auto"/>
              </w:rPr>
            </w:pPr>
          </w:p>
        </w:tc>
        <w:tc>
          <w:tcPr>
            <w:tcW w:w="700" w:type="dxa"/>
            <w:vAlign w:val="bottom"/>
            <w:tcBorders>
              <w:bottom w:val="single" w:sz="8" w:color="5668B0"/>
            </w:tcBorders>
            <w:shd w:val="clear" w:color="auto" w:fill="E6ECF8"/>
          </w:tcPr>
          <w:p>
            <w:pPr>
              <w:jc w:val="right"/>
              <w:ind w:right="73"/>
              <w:spacing w:after="0"/>
              <w:rPr>
                <w:sz w:val="20"/>
                <w:szCs w:val="20"/>
                <w:color w:val="auto"/>
              </w:rPr>
            </w:pPr>
            <w:r>
              <w:rPr>
                <w:rFonts w:ascii="Arial" w:cs="Arial" w:eastAsia="Arial" w:hAnsi="Arial"/>
                <w:sz w:val="13"/>
                <w:szCs w:val="13"/>
                <w:b w:val="1"/>
                <w:bCs w:val="1"/>
                <w:color w:val="auto"/>
              </w:rPr>
              <w:t>5,000</w:t>
            </w:r>
          </w:p>
        </w:tc>
        <w:tc>
          <w:tcPr>
            <w:tcW w:w="860" w:type="dxa"/>
            <w:vAlign w:val="bottom"/>
            <w:tcBorders>
              <w:bottom w:val="single" w:sz="8" w:color="5668B0"/>
            </w:tcBorders>
            <w:shd w:val="clear" w:color="auto" w:fill="E6ECF8"/>
          </w:tcPr>
          <w:p>
            <w:pPr>
              <w:spacing w:after="0"/>
              <w:rPr>
                <w:sz w:val="16"/>
                <w:szCs w:val="16"/>
                <w:color w:val="auto"/>
              </w:rPr>
            </w:pPr>
          </w:p>
        </w:tc>
        <w:tc>
          <w:tcPr>
            <w:tcW w:w="780" w:type="dxa"/>
            <w:vAlign w:val="bottom"/>
            <w:tcBorders>
              <w:bottom w:val="single" w:sz="8" w:color="5668B0"/>
            </w:tcBorders>
            <w:shd w:val="clear" w:color="auto" w:fill="E6ECF8"/>
          </w:tcPr>
          <w:p>
            <w:pPr>
              <w:spacing w:after="0"/>
              <w:rPr>
                <w:sz w:val="16"/>
                <w:szCs w:val="16"/>
                <w:color w:val="auto"/>
              </w:rPr>
            </w:pPr>
          </w:p>
        </w:tc>
        <w:tc>
          <w:tcPr>
            <w:tcW w:w="660" w:type="dxa"/>
            <w:vAlign w:val="bottom"/>
            <w:tcBorders>
              <w:bottom w:val="single" w:sz="8" w:color="5668B0"/>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642620" cy="1930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128270</wp:posOffset>
            </wp:positionV>
            <wp:extent cx="8255" cy="1930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91" w:lineRule="exact"/>
        <w:rPr>
          <w:sz w:val="20"/>
          <w:szCs w:val="20"/>
          <w:color w:val="auto"/>
        </w:rPr>
      </w:pPr>
    </w:p>
    <w:p>
      <w:pPr>
        <w:ind w:left="1160" w:hanging="744"/>
        <w:spacing w:after="0"/>
        <w:tabs>
          <w:tab w:leader="none" w:pos="1160" w:val="left"/>
        </w:tabs>
        <w:numPr>
          <w:ilvl w:val="0"/>
          <w:numId w:val="10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1360" w:type="dxa"/>
        <w:tblCellMar>
          <w:top w:w="0" w:type="dxa"/>
          <w:left w:w="0" w:type="dxa"/>
          <w:bottom w:w="0" w:type="dxa"/>
          <w:right w:w="0" w:type="dxa"/>
        </w:tblCellMar>
      </w:tblPr>
      <w:tr>
        <w:trPr>
          <w:trHeight w:val="310"/>
        </w:trPr>
        <w:tc>
          <w:tcPr>
            <w:tcW w:w="780" w:type="dxa"/>
            <w:vAlign w:val="bottom"/>
            <w:shd w:val="clear" w:color="auto" w:fill="5668B0"/>
          </w:tcPr>
          <w:p>
            <w:pPr>
              <w:spacing w:after="0"/>
              <w:rPr>
                <w:sz w:val="24"/>
                <w:szCs w:val="24"/>
                <w:color w:val="auto"/>
              </w:rPr>
            </w:pPr>
          </w:p>
        </w:tc>
        <w:tc>
          <w:tcPr>
            <w:tcW w:w="1020" w:type="dxa"/>
            <w:vAlign w:val="bottom"/>
            <w:shd w:val="clear" w:color="auto" w:fill="5668B0"/>
          </w:tcPr>
          <w:p>
            <w:pPr>
              <w:spacing w:after="0"/>
              <w:rPr>
                <w:sz w:val="24"/>
                <w:szCs w:val="24"/>
                <w:color w:val="auto"/>
              </w:rPr>
            </w:pPr>
          </w:p>
        </w:tc>
        <w:tc>
          <w:tcPr>
            <w:tcW w:w="1920" w:type="dxa"/>
            <w:vAlign w:val="bottom"/>
            <w:gridSpan w:val="2"/>
            <w:shd w:val="clear" w:color="auto" w:fill="5668B0"/>
          </w:tcPr>
          <w:p>
            <w:pPr>
              <w:jc w:val="right"/>
              <w:ind w:right="153"/>
              <w:spacing w:after="0"/>
              <w:rPr>
                <w:sz w:val="20"/>
                <w:szCs w:val="20"/>
                <w:color w:val="auto"/>
              </w:rPr>
            </w:pPr>
            <w:r>
              <w:rPr>
                <w:rFonts w:ascii="Arial" w:cs="Arial" w:eastAsia="Arial" w:hAnsi="Arial"/>
                <w:sz w:val="13"/>
                <w:szCs w:val="13"/>
                <w:color w:val="FFFFFE"/>
              </w:rPr>
              <w:t>Option Awards</w:t>
            </w:r>
          </w:p>
        </w:tc>
        <w:tc>
          <w:tcPr>
            <w:tcW w:w="720" w:type="dxa"/>
            <w:vAlign w:val="bottom"/>
            <w:shd w:val="clear" w:color="auto" w:fill="5668B0"/>
          </w:tcPr>
          <w:p>
            <w:pPr>
              <w:spacing w:after="0"/>
              <w:rPr>
                <w:sz w:val="24"/>
                <w:szCs w:val="24"/>
                <w:color w:val="auto"/>
              </w:rPr>
            </w:pPr>
          </w:p>
        </w:tc>
        <w:tc>
          <w:tcPr>
            <w:tcW w:w="920" w:type="dxa"/>
            <w:vAlign w:val="bottom"/>
            <w:shd w:val="clear" w:color="auto" w:fill="5668B0"/>
          </w:tcPr>
          <w:p>
            <w:pPr>
              <w:spacing w:after="0"/>
              <w:rPr>
                <w:sz w:val="24"/>
                <w:szCs w:val="24"/>
                <w:color w:val="auto"/>
              </w:rPr>
            </w:pPr>
          </w:p>
        </w:tc>
        <w:tc>
          <w:tcPr>
            <w:tcW w:w="700" w:type="dxa"/>
            <w:vAlign w:val="bottom"/>
            <w:shd w:val="clear" w:color="auto" w:fill="5668B0"/>
          </w:tcPr>
          <w:p>
            <w:pPr>
              <w:spacing w:after="0"/>
              <w:rPr>
                <w:sz w:val="24"/>
                <w:szCs w:val="24"/>
                <w:color w:val="auto"/>
              </w:rPr>
            </w:pPr>
          </w:p>
        </w:tc>
        <w:tc>
          <w:tcPr>
            <w:tcW w:w="1700" w:type="dxa"/>
            <w:vAlign w:val="bottom"/>
            <w:gridSpan w:val="2"/>
            <w:shd w:val="clear" w:color="auto" w:fill="5668B0"/>
          </w:tcPr>
          <w:p>
            <w:pPr>
              <w:jc w:val="right"/>
              <w:ind w:right="353"/>
              <w:spacing w:after="0"/>
              <w:rPr>
                <w:sz w:val="20"/>
                <w:szCs w:val="20"/>
                <w:color w:val="auto"/>
              </w:rPr>
            </w:pPr>
            <w:r>
              <w:rPr>
                <w:rFonts w:ascii="Arial" w:cs="Arial" w:eastAsia="Arial" w:hAnsi="Arial"/>
                <w:sz w:val="13"/>
                <w:szCs w:val="13"/>
                <w:color w:val="FFFFFE"/>
              </w:rPr>
              <w:t>Stock Awards</w:t>
            </w:r>
          </w:p>
        </w:tc>
        <w:tc>
          <w:tcPr>
            <w:tcW w:w="660" w:type="dxa"/>
            <w:vAlign w:val="bottom"/>
            <w:shd w:val="clear" w:color="auto" w:fill="5668B0"/>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80" w:type="dxa"/>
            <w:vAlign w:val="bottom"/>
            <w:shd w:val="clear" w:color="auto" w:fill="5668B0"/>
          </w:tcPr>
          <w:p>
            <w:pPr>
              <w:spacing w:after="0"/>
              <w:rPr>
                <w:sz w:val="14"/>
                <w:szCs w:val="14"/>
                <w:color w:val="auto"/>
              </w:rPr>
            </w:pPr>
          </w:p>
        </w:tc>
        <w:tc>
          <w:tcPr>
            <w:tcW w:w="1020" w:type="dxa"/>
            <w:vAlign w:val="bottom"/>
            <w:shd w:val="clear" w:color="auto" w:fill="5668B0"/>
          </w:tcPr>
          <w:p>
            <w:pPr>
              <w:spacing w:after="0"/>
              <w:rPr>
                <w:sz w:val="14"/>
                <w:szCs w:val="14"/>
                <w:color w:val="auto"/>
              </w:rPr>
            </w:pPr>
          </w:p>
        </w:tc>
        <w:tc>
          <w:tcPr>
            <w:tcW w:w="1020" w:type="dxa"/>
            <w:vAlign w:val="bottom"/>
            <w:shd w:val="clear" w:color="auto" w:fill="5668B0"/>
          </w:tcPr>
          <w:p>
            <w:pPr>
              <w:spacing w:after="0"/>
              <w:rPr>
                <w:sz w:val="14"/>
                <w:szCs w:val="14"/>
                <w:color w:val="auto"/>
              </w:rPr>
            </w:pPr>
          </w:p>
        </w:tc>
        <w:tc>
          <w:tcPr>
            <w:tcW w:w="900" w:type="dxa"/>
            <w:vAlign w:val="bottom"/>
            <w:shd w:val="clear" w:color="auto" w:fill="5668B0"/>
          </w:tcPr>
          <w:p>
            <w:pPr>
              <w:spacing w:after="0"/>
              <w:rPr>
                <w:sz w:val="14"/>
                <w:szCs w:val="14"/>
                <w:color w:val="auto"/>
              </w:rPr>
            </w:pPr>
          </w:p>
        </w:tc>
        <w:tc>
          <w:tcPr>
            <w:tcW w:w="720" w:type="dxa"/>
            <w:vAlign w:val="bottom"/>
            <w:shd w:val="clear" w:color="auto" w:fill="5668B0"/>
          </w:tcPr>
          <w:p>
            <w:pPr>
              <w:spacing w:after="0"/>
              <w:rPr>
                <w:sz w:val="14"/>
                <w:szCs w:val="14"/>
                <w:color w:val="auto"/>
              </w:rPr>
            </w:pPr>
          </w:p>
        </w:tc>
        <w:tc>
          <w:tcPr>
            <w:tcW w:w="920" w:type="dxa"/>
            <w:vAlign w:val="bottom"/>
            <w:shd w:val="clear" w:color="auto" w:fill="5668B0"/>
          </w:tcPr>
          <w:p>
            <w:pPr>
              <w:spacing w:after="0"/>
              <w:rPr>
                <w:sz w:val="14"/>
                <w:szCs w:val="14"/>
                <w:color w:val="auto"/>
              </w:rPr>
            </w:pPr>
          </w:p>
        </w:tc>
        <w:tc>
          <w:tcPr>
            <w:tcW w:w="700" w:type="dxa"/>
            <w:vAlign w:val="bottom"/>
            <w:shd w:val="clear" w:color="auto" w:fill="5668B0"/>
          </w:tcPr>
          <w:p>
            <w:pPr>
              <w:spacing w:after="0"/>
              <w:rPr>
                <w:sz w:val="14"/>
                <w:szCs w:val="14"/>
                <w:color w:val="auto"/>
              </w:rPr>
            </w:pPr>
          </w:p>
        </w:tc>
        <w:tc>
          <w:tcPr>
            <w:tcW w:w="900" w:type="dxa"/>
            <w:vAlign w:val="bottom"/>
            <w:shd w:val="clear" w:color="auto" w:fill="5668B0"/>
          </w:tcPr>
          <w:p>
            <w:pPr>
              <w:spacing w:after="0"/>
              <w:rPr>
                <w:sz w:val="14"/>
                <w:szCs w:val="14"/>
                <w:color w:val="auto"/>
              </w:rPr>
            </w:pPr>
          </w:p>
        </w:tc>
        <w:tc>
          <w:tcPr>
            <w:tcW w:w="800" w:type="dxa"/>
            <w:vAlign w:val="bottom"/>
            <w:shd w:val="clear" w:color="auto" w:fill="5668B0"/>
          </w:tcPr>
          <w:p>
            <w:pPr>
              <w:spacing w:after="0"/>
              <w:rPr>
                <w:sz w:val="14"/>
                <w:szCs w:val="14"/>
                <w:color w:val="auto"/>
              </w:rPr>
            </w:pP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Equity</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Equity</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incentive</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incentive</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plan</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plan</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awards:</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awards:</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market or</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00" w:type="dxa"/>
            <w:vAlign w:val="bottom"/>
            <w:shd w:val="clear" w:color="auto" w:fill="5668B0"/>
          </w:tcPr>
          <w:p>
            <w:pPr>
              <w:spacing w:after="0"/>
              <w:rPr>
                <w:sz w:val="13"/>
                <w:szCs w:val="13"/>
                <w:color w:val="auto"/>
              </w:rPr>
            </w:pP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Number</w:t>
            </w:r>
          </w:p>
        </w:tc>
        <w:tc>
          <w:tcPr>
            <w:tcW w:w="900" w:type="dxa"/>
            <w:vAlign w:val="bottom"/>
            <w:shd w:val="clear" w:color="auto" w:fill="5668B0"/>
          </w:tcPr>
          <w:p>
            <w:pPr>
              <w:spacing w:after="0"/>
              <w:rPr>
                <w:sz w:val="13"/>
                <w:szCs w:val="13"/>
                <w:color w:val="auto"/>
              </w:rPr>
            </w:pP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number</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payout</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Equity</w:t>
            </w: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of</w:t>
            </w:r>
          </w:p>
        </w:tc>
        <w:tc>
          <w:tcPr>
            <w:tcW w:w="900" w:type="dxa"/>
            <w:vAlign w:val="bottom"/>
            <w:shd w:val="clear" w:color="auto" w:fill="5668B0"/>
          </w:tcPr>
          <w:p>
            <w:pPr>
              <w:spacing w:after="0"/>
              <w:rPr>
                <w:sz w:val="13"/>
                <w:szCs w:val="13"/>
                <w:color w:val="auto"/>
              </w:rPr>
            </w:pP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of</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value of</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incentive</w:t>
            </w: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shares</w:t>
            </w:r>
          </w:p>
        </w:tc>
        <w:tc>
          <w:tcPr>
            <w:tcW w:w="900" w:type="dxa"/>
            <w:vAlign w:val="bottom"/>
            <w:shd w:val="clear" w:color="auto" w:fill="5668B0"/>
          </w:tcPr>
          <w:p>
            <w:pPr>
              <w:spacing w:after="0"/>
              <w:rPr>
                <w:sz w:val="13"/>
                <w:szCs w:val="13"/>
                <w:color w:val="auto"/>
              </w:rPr>
            </w:pP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unearned</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unearned</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1020" w:type="dxa"/>
            <w:vAlign w:val="bottom"/>
            <w:shd w:val="clear" w:color="auto" w:fill="5668B0"/>
          </w:tcPr>
          <w:p>
            <w:pPr>
              <w:spacing w:after="0"/>
              <w:rPr>
                <w:sz w:val="13"/>
                <w:szCs w:val="13"/>
                <w:color w:val="auto"/>
              </w:rPr>
            </w:pP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plan</w:t>
            </w: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or</w:t>
            </w:r>
          </w:p>
        </w:tc>
        <w:tc>
          <w:tcPr>
            <w:tcW w:w="900" w:type="dxa"/>
            <w:vAlign w:val="bottom"/>
            <w:vMerge w:val="restart"/>
            <w:shd w:val="clear" w:color="auto" w:fill="5668B0"/>
          </w:tcPr>
          <w:p>
            <w:pPr>
              <w:jc w:val="right"/>
              <w:ind w:right="33"/>
              <w:spacing w:after="0"/>
              <w:rPr>
                <w:sz w:val="20"/>
                <w:szCs w:val="20"/>
                <w:color w:val="auto"/>
              </w:rPr>
            </w:pPr>
            <w:r>
              <w:rPr>
                <w:rFonts w:ascii="Arial" w:cs="Arial" w:eastAsia="Arial" w:hAnsi="Arial"/>
                <w:sz w:val="13"/>
                <w:szCs w:val="13"/>
                <w:color w:val="FFFFFE"/>
              </w:rPr>
              <w:t>Market</w:t>
            </w: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shares,</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shares,</w:t>
            </w:r>
          </w:p>
        </w:tc>
        <w:tc>
          <w:tcPr>
            <w:tcW w:w="0" w:type="dxa"/>
            <w:vAlign w:val="bottom"/>
          </w:tcPr>
          <w:p>
            <w:pPr>
              <w:spacing w:after="0"/>
              <w:rPr>
                <w:sz w:val="1"/>
                <w:szCs w:val="1"/>
                <w:color w:val="auto"/>
              </w:rPr>
            </w:pPr>
          </w:p>
        </w:tc>
      </w:tr>
      <w:tr>
        <w:trPr>
          <w:trHeight w:val="127"/>
        </w:trPr>
        <w:tc>
          <w:tcPr>
            <w:tcW w:w="780" w:type="dxa"/>
            <w:vAlign w:val="bottom"/>
            <w:shd w:val="clear" w:color="auto" w:fill="5668B0"/>
          </w:tcPr>
          <w:p>
            <w:pPr>
              <w:spacing w:after="0"/>
              <w:rPr>
                <w:sz w:val="11"/>
                <w:szCs w:val="11"/>
                <w:color w:val="auto"/>
              </w:rPr>
            </w:pPr>
          </w:p>
        </w:tc>
        <w:tc>
          <w:tcPr>
            <w:tcW w:w="1020" w:type="dxa"/>
            <w:vAlign w:val="bottom"/>
            <w:shd w:val="clear" w:color="auto" w:fill="5668B0"/>
          </w:tcPr>
          <w:p>
            <w:pPr>
              <w:spacing w:after="0"/>
              <w:rPr>
                <w:sz w:val="11"/>
                <w:szCs w:val="11"/>
                <w:color w:val="auto"/>
              </w:rPr>
            </w:pPr>
          </w:p>
        </w:tc>
        <w:tc>
          <w:tcPr>
            <w:tcW w:w="1020" w:type="dxa"/>
            <w:vAlign w:val="bottom"/>
            <w:shd w:val="clear" w:color="auto" w:fill="5668B0"/>
          </w:tcPr>
          <w:p>
            <w:pPr>
              <w:spacing w:after="0"/>
              <w:rPr>
                <w:sz w:val="11"/>
                <w:szCs w:val="11"/>
                <w:color w:val="auto"/>
              </w:rPr>
            </w:pPr>
          </w:p>
        </w:tc>
        <w:tc>
          <w:tcPr>
            <w:tcW w:w="900" w:type="dxa"/>
            <w:vAlign w:val="bottom"/>
            <w:shd w:val="clear" w:color="auto" w:fill="5668B0"/>
          </w:tcPr>
          <w:p>
            <w:pPr>
              <w:jc w:val="right"/>
              <w:ind w:right="33"/>
              <w:spacing w:after="0" w:line="127" w:lineRule="exact"/>
              <w:rPr>
                <w:sz w:val="20"/>
                <w:szCs w:val="20"/>
                <w:color w:val="auto"/>
              </w:rPr>
            </w:pPr>
            <w:r>
              <w:rPr>
                <w:rFonts w:ascii="Arial" w:cs="Arial" w:eastAsia="Arial" w:hAnsi="Arial"/>
                <w:sz w:val="13"/>
                <w:szCs w:val="13"/>
                <w:color w:val="FFFFFE"/>
              </w:rPr>
              <w:t>awards:</w:t>
            </w:r>
          </w:p>
        </w:tc>
        <w:tc>
          <w:tcPr>
            <w:tcW w:w="720" w:type="dxa"/>
            <w:vAlign w:val="bottom"/>
            <w:shd w:val="clear" w:color="auto" w:fill="5668B0"/>
          </w:tcPr>
          <w:p>
            <w:pPr>
              <w:spacing w:after="0"/>
              <w:rPr>
                <w:sz w:val="11"/>
                <w:szCs w:val="11"/>
                <w:color w:val="auto"/>
              </w:rPr>
            </w:pPr>
          </w:p>
        </w:tc>
        <w:tc>
          <w:tcPr>
            <w:tcW w:w="920" w:type="dxa"/>
            <w:vAlign w:val="bottom"/>
            <w:shd w:val="clear" w:color="auto" w:fill="5668B0"/>
          </w:tcPr>
          <w:p>
            <w:pPr>
              <w:spacing w:after="0"/>
              <w:rPr>
                <w:sz w:val="11"/>
                <w:szCs w:val="11"/>
                <w:color w:val="auto"/>
              </w:rPr>
            </w:pPr>
          </w:p>
        </w:tc>
        <w:tc>
          <w:tcPr>
            <w:tcW w:w="700" w:type="dxa"/>
            <w:vAlign w:val="bottom"/>
            <w:shd w:val="clear" w:color="auto" w:fill="5668B0"/>
          </w:tcPr>
          <w:p>
            <w:pPr>
              <w:jc w:val="right"/>
              <w:ind w:right="93"/>
              <w:spacing w:after="0" w:line="127" w:lineRule="exact"/>
              <w:rPr>
                <w:sz w:val="20"/>
                <w:szCs w:val="20"/>
                <w:color w:val="auto"/>
              </w:rPr>
            </w:pPr>
            <w:r>
              <w:rPr>
                <w:rFonts w:ascii="Arial" w:cs="Arial" w:eastAsia="Arial" w:hAnsi="Arial"/>
                <w:sz w:val="13"/>
                <w:szCs w:val="13"/>
                <w:color w:val="FFFFFE"/>
              </w:rPr>
              <w:t>units of</w:t>
            </w:r>
          </w:p>
        </w:tc>
        <w:tc>
          <w:tcPr>
            <w:tcW w:w="900" w:type="dxa"/>
            <w:vAlign w:val="bottom"/>
            <w:vMerge w:val="continue"/>
            <w:shd w:val="clear" w:color="auto" w:fill="5668B0"/>
          </w:tcPr>
          <w:p>
            <w:pPr>
              <w:spacing w:after="0"/>
              <w:rPr>
                <w:sz w:val="11"/>
                <w:szCs w:val="11"/>
                <w:color w:val="auto"/>
              </w:rPr>
            </w:pPr>
          </w:p>
        </w:tc>
        <w:tc>
          <w:tcPr>
            <w:tcW w:w="800" w:type="dxa"/>
            <w:vAlign w:val="bottom"/>
            <w:shd w:val="clear" w:color="auto" w:fill="5668B0"/>
          </w:tcPr>
          <w:p>
            <w:pPr>
              <w:jc w:val="right"/>
              <w:ind w:right="53"/>
              <w:spacing w:after="0" w:line="127" w:lineRule="exact"/>
              <w:rPr>
                <w:sz w:val="20"/>
                <w:szCs w:val="20"/>
                <w:color w:val="auto"/>
              </w:rPr>
            </w:pPr>
            <w:r>
              <w:rPr>
                <w:rFonts w:ascii="Arial" w:cs="Arial" w:eastAsia="Arial" w:hAnsi="Arial"/>
                <w:sz w:val="13"/>
                <w:szCs w:val="13"/>
                <w:color w:val="FFFFFE"/>
              </w:rPr>
              <w:t>units</w:t>
            </w:r>
          </w:p>
        </w:tc>
        <w:tc>
          <w:tcPr>
            <w:tcW w:w="660" w:type="dxa"/>
            <w:vAlign w:val="bottom"/>
            <w:shd w:val="clear" w:color="auto" w:fill="5668B0"/>
          </w:tcPr>
          <w:p>
            <w:pPr>
              <w:jc w:val="right"/>
              <w:spacing w:after="0" w:line="127" w:lineRule="exact"/>
              <w:rPr>
                <w:sz w:val="20"/>
                <w:szCs w:val="20"/>
                <w:color w:val="auto"/>
              </w:rPr>
            </w:pPr>
            <w:r>
              <w:rPr>
                <w:rFonts w:ascii="Arial" w:cs="Arial" w:eastAsia="Arial" w:hAnsi="Arial"/>
                <w:sz w:val="13"/>
                <w:szCs w:val="13"/>
                <w:color w:val="FFFFFE"/>
              </w:rPr>
              <w:t>units</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Number of</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Number of</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number of</w:t>
            </w: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stock</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value of</w:t>
            </w: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or other</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or other</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securities</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securities</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securities</w:t>
            </w: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that</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shares or</w:t>
            </w: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rights</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rights</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underlying</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underlying</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underlying</w:t>
            </w:r>
          </w:p>
        </w:tc>
        <w:tc>
          <w:tcPr>
            <w:tcW w:w="720" w:type="dxa"/>
            <w:vAlign w:val="bottom"/>
            <w:shd w:val="clear" w:color="auto" w:fill="5668B0"/>
          </w:tcPr>
          <w:p>
            <w:pPr>
              <w:spacing w:after="0"/>
              <w:rPr>
                <w:sz w:val="13"/>
                <w:szCs w:val="13"/>
                <w:color w:val="auto"/>
              </w:rPr>
            </w:pPr>
          </w:p>
        </w:tc>
        <w:tc>
          <w:tcPr>
            <w:tcW w:w="920" w:type="dxa"/>
            <w:vAlign w:val="bottom"/>
            <w:shd w:val="clear" w:color="auto" w:fill="5668B0"/>
          </w:tcPr>
          <w:p>
            <w:pPr>
              <w:spacing w:after="0"/>
              <w:rPr>
                <w:sz w:val="13"/>
                <w:szCs w:val="13"/>
                <w:color w:val="auto"/>
              </w:rPr>
            </w:pP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have</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units of</w:t>
            </w: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that</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that</w:t>
            </w:r>
          </w:p>
        </w:tc>
        <w:tc>
          <w:tcPr>
            <w:tcW w:w="0" w:type="dxa"/>
            <w:vAlign w:val="bottom"/>
          </w:tcPr>
          <w:p>
            <w:pPr>
              <w:spacing w:after="0"/>
              <w:rPr>
                <w:sz w:val="1"/>
                <w:szCs w:val="1"/>
                <w:color w:val="auto"/>
              </w:rPr>
            </w:pPr>
          </w:p>
        </w:tc>
      </w:tr>
      <w:tr>
        <w:trPr>
          <w:trHeight w:val="152"/>
        </w:trPr>
        <w:tc>
          <w:tcPr>
            <w:tcW w:w="780" w:type="dxa"/>
            <w:vAlign w:val="bottom"/>
            <w:shd w:val="clear" w:color="auto" w:fill="5668B0"/>
          </w:tcPr>
          <w:p>
            <w:pPr>
              <w:spacing w:after="0"/>
              <w:rPr>
                <w:sz w:val="13"/>
                <w:szCs w:val="13"/>
                <w:color w:val="auto"/>
              </w:rPr>
            </w:pPr>
          </w:p>
        </w:tc>
        <w:tc>
          <w:tcPr>
            <w:tcW w:w="102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unexercised</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unexercised</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unexercised</w:t>
            </w:r>
          </w:p>
        </w:tc>
        <w:tc>
          <w:tcPr>
            <w:tcW w:w="72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Option</w:t>
            </w:r>
          </w:p>
        </w:tc>
        <w:tc>
          <w:tcPr>
            <w:tcW w:w="92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Option</w:t>
            </w: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not</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stock that</w:t>
            </w: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have not</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have not</w:t>
            </w:r>
          </w:p>
        </w:tc>
        <w:tc>
          <w:tcPr>
            <w:tcW w:w="0" w:type="dxa"/>
            <w:vAlign w:val="bottom"/>
          </w:tcPr>
          <w:p>
            <w:pPr>
              <w:spacing w:after="0"/>
              <w:rPr>
                <w:sz w:val="1"/>
                <w:szCs w:val="1"/>
                <w:color w:val="auto"/>
              </w:rPr>
            </w:pPr>
          </w:p>
        </w:tc>
      </w:tr>
      <w:tr>
        <w:trPr>
          <w:trHeight w:val="147"/>
        </w:trPr>
        <w:tc>
          <w:tcPr>
            <w:tcW w:w="780" w:type="dxa"/>
            <w:vAlign w:val="bottom"/>
            <w:shd w:val="clear" w:color="auto" w:fill="5668B0"/>
          </w:tcPr>
          <w:p>
            <w:pPr>
              <w:spacing w:after="0"/>
              <w:rPr>
                <w:sz w:val="12"/>
                <w:szCs w:val="12"/>
                <w:color w:val="auto"/>
              </w:rPr>
            </w:pPr>
          </w:p>
        </w:tc>
        <w:tc>
          <w:tcPr>
            <w:tcW w:w="1020" w:type="dxa"/>
            <w:vAlign w:val="bottom"/>
            <w:shd w:val="clear" w:color="auto" w:fill="5668B0"/>
          </w:tcPr>
          <w:p>
            <w:pPr>
              <w:jc w:val="right"/>
              <w:ind w:right="93"/>
              <w:spacing w:after="0" w:line="148" w:lineRule="exact"/>
              <w:rPr>
                <w:sz w:val="20"/>
                <w:szCs w:val="20"/>
                <w:color w:val="auto"/>
              </w:rPr>
            </w:pPr>
            <w:r>
              <w:rPr>
                <w:rFonts w:ascii="Arial" w:cs="Arial" w:eastAsia="Arial" w:hAnsi="Arial"/>
                <w:sz w:val="13"/>
                <w:szCs w:val="13"/>
                <w:color w:val="FFFFFE"/>
              </w:rPr>
              <w:t>options (#)</w:t>
            </w:r>
          </w:p>
        </w:tc>
        <w:tc>
          <w:tcPr>
            <w:tcW w:w="1020" w:type="dxa"/>
            <w:vAlign w:val="bottom"/>
            <w:shd w:val="clear" w:color="auto" w:fill="5668B0"/>
          </w:tcPr>
          <w:p>
            <w:pPr>
              <w:jc w:val="right"/>
              <w:ind w:right="74"/>
              <w:spacing w:after="0" w:line="148" w:lineRule="exact"/>
              <w:rPr>
                <w:sz w:val="20"/>
                <w:szCs w:val="20"/>
                <w:color w:val="auto"/>
              </w:rPr>
            </w:pPr>
            <w:r>
              <w:rPr>
                <w:rFonts w:ascii="Arial" w:cs="Arial" w:eastAsia="Arial" w:hAnsi="Arial"/>
                <w:sz w:val="13"/>
                <w:szCs w:val="13"/>
                <w:color w:val="FFFFFE"/>
              </w:rPr>
              <w:t>options (#)</w:t>
            </w:r>
          </w:p>
        </w:tc>
        <w:tc>
          <w:tcPr>
            <w:tcW w:w="90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unearned</w:t>
            </w:r>
          </w:p>
        </w:tc>
        <w:tc>
          <w:tcPr>
            <w:tcW w:w="72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exercise</w:t>
            </w:r>
          </w:p>
        </w:tc>
        <w:tc>
          <w:tcPr>
            <w:tcW w:w="920" w:type="dxa"/>
            <w:vAlign w:val="bottom"/>
            <w:shd w:val="clear" w:color="auto" w:fill="5668B0"/>
          </w:tcPr>
          <w:p>
            <w:pPr>
              <w:jc w:val="right"/>
              <w:ind w:right="93"/>
              <w:spacing w:after="0" w:line="148" w:lineRule="exact"/>
              <w:rPr>
                <w:sz w:val="20"/>
                <w:szCs w:val="20"/>
                <w:color w:val="auto"/>
              </w:rPr>
            </w:pPr>
            <w:r>
              <w:rPr>
                <w:rFonts w:ascii="Arial" w:cs="Arial" w:eastAsia="Arial" w:hAnsi="Arial"/>
                <w:sz w:val="13"/>
                <w:szCs w:val="13"/>
                <w:color w:val="FFFFFE"/>
              </w:rPr>
              <w:t>expiration</w:t>
            </w:r>
          </w:p>
        </w:tc>
        <w:tc>
          <w:tcPr>
            <w:tcW w:w="700" w:type="dxa"/>
            <w:vAlign w:val="bottom"/>
            <w:shd w:val="clear" w:color="auto" w:fill="5668B0"/>
          </w:tcPr>
          <w:p>
            <w:pPr>
              <w:jc w:val="right"/>
              <w:ind w:right="93"/>
              <w:spacing w:after="0" w:line="148" w:lineRule="exact"/>
              <w:rPr>
                <w:sz w:val="20"/>
                <w:szCs w:val="20"/>
                <w:color w:val="auto"/>
              </w:rPr>
            </w:pPr>
            <w:r>
              <w:rPr>
                <w:rFonts w:ascii="Arial" w:cs="Arial" w:eastAsia="Arial" w:hAnsi="Arial"/>
                <w:sz w:val="13"/>
                <w:szCs w:val="13"/>
                <w:color w:val="FFFFFE"/>
              </w:rPr>
              <w:t>vested</w:t>
            </w:r>
          </w:p>
        </w:tc>
        <w:tc>
          <w:tcPr>
            <w:tcW w:w="90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have not</w:t>
            </w:r>
          </w:p>
        </w:tc>
        <w:tc>
          <w:tcPr>
            <w:tcW w:w="80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vested</w:t>
            </w:r>
          </w:p>
        </w:tc>
        <w:tc>
          <w:tcPr>
            <w:tcW w:w="66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vested</w:t>
            </w:r>
          </w:p>
        </w:tc>
        <w:tc>
          <w:tcPr>
            <w:tcW w:w="0" w:type="dxa"/>
            <w:vAlign w:val="bottom"/>
          </w:tcPr>
          <w:p>
            <w:pPr>
              <w:spacing w:after="0"/>
              <w:rPr>
                <w:sz w:val="1"/>
                <w:szCs w:val="1"/>
                <w:color w:val="auto"/>
              </w:rPr>
            </w:pPr>
          </w:p>
        </w:tc>
      </w:tr>
      <w:tr>
        <w:trPr>
          <w:trHeight w:val="182"/>
        </w:trPr>
        <w:tc>
          <w:tcPr>
            <w:tcW w:w="780" w:type="dxa"/>
            <w:vAlign w:val="bottom"/>
            <w:shd w:val="clear" w:color="auto" w:fill="5668B0"/>
          </w:tcPr>
          <w:p>
            <w:pPr>
              <w:ind w:left="20"/>
              <w:spacing w:after="0"/>
              <w:rPr>
                <w:sz w:val="20"/>
                <w:szCs w:val="20"/>
                <w:color w:val="auto"/>
              </w:rPr>
            </w:pPr>
            <w:r>
              <w:rPr>
                <w:rFonts w:ascii="Arial" w:cs="Arial" w:eastAsia="Arial" w:hAnsi="Arial"/>
                <w:sz w:val="13"/>
                <w:szCs w:val="13"/>
                <w:color w:val="FFFFFE"/>
              </w:rPr>
              <w:t>Name</w:t>
            </w:r>
          </w:p>
        </w:tc>
        <w:tc>
          <w:tcPr>
            <w:tcW w:w="102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exercisable</w:t>
            </w:r>
          </w:p>
        </w:tc>
        <w:tc>
          <w:tcPr>
            <w:tcW w:w="1020" w:type="dxa"/>
            <w:vAlign w:val="bottom"/>
            <w:shd w:val="clear" w:color="auto" w:fill="5668B0"/>
          </w:tcPr>
          <w:p>
            <w:pPr>
              <w:jc w:val="right"/>
              <w:ind w:right="74"/>
              <w:spacing w:after="0"/>
              <w:rPr>
                <w:sz w:val="20"/>
                <w:szCs w:val="20"/>
                <w:color w:val="auto"/>
              </w:rPr>
            </w:pPr>
            <w:r>
              <w:rPr>
                <w:rFonts w:ascii="Arial" w:cs="Arial" w:eastAsia="Arial" w:hAnsi="Arial"/>
                <w:sz w:val="13"/>
                <w:szCs w:val="13"/>
                <w:color w:val="FFFFFE"/>
              </w:rPr>
              <w:t>unexercisable</w:t>
            </w:r>
          </w:p>
        </w:tc>
        <w:tc>
          <w:tcPr>
            <w:tcW w:w="900" w:type="dxa"/>
            <w:vAlign w:val="bottom"/>
            <w:shd w:val="clear" w:color="auto" w:fill="5668B0"/>
          </w:tcPr>
          <w:p>
            <w:pPr>
              <w:jc w:val="right"/>
              <w:ind w:right="33"/>
              <w:spacing w:after="0"/>
              <w:rPr>
                <w:sz w:val="20"/>
                <w:szCs w:val="20"/>
                <w:color w:val="auto"/>
              </w:rPr>
            </w:pPr>
            <w:r>
              <w:rPr>
                <w:rFonts w:ascii="Arial" w:cs="Arial" w:eastAsia="Arial" w:hAnsi="Arial"/>
                <w:sz w:val="13"/>
                <w:szCs w:val="13"/>
                <w:color w:val="FFFFFE"/>
              </w:rPr>
              <w:t>options (#)</w:t>
            </w:r>
          </w:p>
        </w:tc>
        <w:tc>
          <w:tcPr>
            <w:tcW w:w="72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price ($)</w:t>
            </w:r>
          </w:p>
        </w:tc>
        <w:tc>
          <w:tcPr>
            <w:tcW w:w="92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date</w:t>
            </w:r>
          </w:p>
        </w:tc>
        <w:tc>
          <w:tcPr>
            <w:tcW w:w="70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w:t>
            </w:r>
          </w:p>
        </w:tc>
        <w:tc>
          <w:tcPr>
            <w:tcW w:w="900" w:type="dxa"/>
            <w:vAlign w:val="bottom"/>
            <w:shd w:val="clear" w:color="auto" w:fill="5668B0"/>
          </w:tcPr>
          <w:p>
            <w:pPr>
              <w:jc w:val="right"/>
              <w:ind w:right="33"/>
              <w:spacing w:after="0" w:line="182" w:lineRule="exact"/>
              <w:rPr>
                <w:sz w:val="20"/>
                <w:szCs w:val="20"/>
                <w:color w:val="auto"/>
              </w:rPr>
            </w:pPr>
            <w:r>
              <w:rPr>
                <w:rFonts w:ascii="Arial" w:cs="Arial" w:eastAsia="Arial" w:hAnsi="Arial"/>
                <w:sz w:val="13"/>
                <w:szCs w:val="13"/>
                <w:color w:val="FFFFFE"/>
              </w:rPr>
              <w:t>vested ($)</w:t>
            </w:r>
            <w:r>
              <w:rPr>
                <w:rFonts w:ascii="Arial" w:cs="Arial" w:eastAsia="Arial" w:hAnsi="Arial"/>
                <w:sz w:val="20"/>
                <w:szCs w:val="20"/>
                <w:color w:val="FFFFFE"/>
                <w:vertAlign w:val="superscript"/>
              </w:rPr>
              <w:t>5</w:t>
            </w:r>
          </w:p>
        </w:tc>
        <w:tc>
          <w:tcPr>
            <w:tcW w:w="80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w:t>
            </w:r>
          </w:p>
        </w:tc>
        <w:tc>
          <w:tcPr>
            <w:tcW w:w="66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147"/>
        </w:trPr>
        <w:tc>
          <w:tcPr>
            <w:tcW w:w="780" w:type="dxa"/>
            <w:vAlign w:val="bottom"/>
            <w:shd w:val="clear" w:color="auto" w:fill="5668B0"/>
          </w:tcPr>
          <w:p>
            <w:pPr>
              <w:ind w:left="20"/>
              <w:spacing w:after="0" w:line="148" w:lineRule="exact"/>
              <w:rPr>
                <w:sz w:val="20"/>
                <w:szCs w:val="20"/>
                <w:color w:val="auto"/>
              </w:rPr>
            </w:pPr>
            <w:r>
              <w:rPr>
                <w:rFonts w:ascii="Arial" w:cs="Arial" w:eastAsia="Arial" w:hAnsi="Arial"/>
                <w:sz w:val="13"/>
                <w:szCs w:val="13"/>
                <w:color w:val="FFFFFE"/>
              </w:rPr>
              <w:t>(a)</w:t>
            </w:r>
          </w:p>
        </w:tc>
        <w:tc>
          <w:tcPr>
            <w:tcW w:w="1020" w:type="dxa"/>
            <w:vAlign w:val="bottom"/>
            <w:shd w:val="clear" w:color="auto" w:fill="5668B0"/>
          </w:tcPr>
          <w:p>
            <w:pPr>
              <w:jc w:val="right"/>
              <w:ind w:right="93"/>
              <w:spacing w:after="0" w:line="148" w:lineRule="exact"/>
              <w:rPr>
                <w:sz w:val="20"/>
                <w:szCs w:val="20"/>
                <w:color w:val="auto"/>
              </w:rPr>
            </w:pPr>
            <w:r>
              <w:rPr>
                <w:rFonts w:ascii="Arial" w:cs="Arial" w:eastAsia="Arial" w:hAnsi="Arial"/>
                <w:sz w:val="13"/>
                <w:szCs w:val="13"/>
                <w:color w:val="FFFFFE"/>
              </w:rPr>
              <w:t>(b)</w:t>
            </w:r>
          </w:p>
        </w:tc>
        <w:tc>
          <w:tcPr>
            <w:tcW w:w="1020" w:type="dxa"/>
            <w:vAlign w:val="bottom"/>
            <w:shd w:val="clear" w:color="auto" w:fill="5668B0"/>
          </w:tcPr>
          <w:p>
            <w:pPr>
              <w:jc w:val="right"/>
              <w:ind w:right="74"/>
              <w:spacing w:after="0" w:line="148" w:lineRule="exact"/>
              <w:rPr>
                <w:sz w:val="20"/>
                <w:szCs w:val="20"/>
                <w:color w:val="auto"/>
              </w:rPr>
            </w:pPr>
            <w:r>
              <w:rPr>
                <w:rFonts w:ascii="Arial" w:cs="Arial" w:eastAsia="Arial" w:hAnsi="Arial"/>
                <w:sz w:val="13"/>
                <w:szCs w:val="13"/>
                <w:color w:val="FFFFFE"/>
              </w:rPr>
              <w:t>(c)</w:t>
            </w:r>
          </w:p>
        </w:tc>
        <w:tc>
          <w:tcPr>
            <w:tcW w:w="90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(d)</w:t>
            </w:r>
          </w:p>
        </w:tc>
        <w:tc>
          <w:tcPr>
            <w:tcW w:w="72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(e)</w:t>
            </w:r>
          </w:p>
        </w:tc>
        <w:tc>
          <w:tcPr>
            <w:tcW w:w="920" w:type="dxa"/>
            <w:vAlign w:val="bottom"/>
            <w:shd w:val="clear" w:color="auto" w:fill="5668B0"/>
          </w:tcPr>
          <w:p>
            <w:pPr>
              <w:jc w:val="right"/>
              <w:ind w:right="93"/>
              <w:spacing w:after="0" w:line="148" w:lineRule="exact"/>
              <w:rPr>
                <w:sz w:val="20"/>
                <w:szCs w:val="20"/>
                <w:color w:val="auto"/>
              </w:rPr>
            </w:pPr>
            <w:r>
              <w:rPr>
                <w:rFonts w:ascii="Arial" w:cs="Arial" w:eastAsia="Arial" w:hAnsi="Arial"/>
                <w:sz w:val="13"/>
                <w:szCs w:val="13"/>
                <w:color w:val="FFFFFE"/>
              </w:rPr>
              <w:t>(f)</w:t>
            </w:r>
          </w:p>
        </w:tc>
        <w:tc>
          <w:tcPr>
            <w:tcW w:w="700" w:type="dxa"/>
            <w:vAlign w:val="bottom"/>
            <w:shd w:val="clear" w:color="auto" w:fill="5668B0"/>
          </w:tcPr>
          <w:p>
            <w:pPr>
              <w:jc w:val="right"/>
              <w:ind w:right="93"/>
              <w:spacing w:after="0" w:line="148" w:lineRule="exact"/>
              <w:rPr>
                <w:sz w:val="20"/>
                <w:szCs w:val="20"/>
                <w:color w:val="auto"/>
              </w:rPr>
            </w:pPr>
            <w:r>
              <w:rPr>
                <w:rFonts w:ascii="Arial" w:cs="Arial" w:eastAsia="Arial" w:hAnsi="Arial"/>
                <w:sz w:val="13"/>
                <w:szCs w:val="13"/>
                <w:color w:val="FFFFFE"/>
              </w:rPr>
              <w:t>(g)</w:t>
            </w:r>
          </w:p>
        </w:tc>
        <w:tc>
          <w:tcPr>
            <w:tcW w:w="900" w:type="dxa"/>
            <w:vAlign w:val="bottom"/>
            <w:shd w:val="clear" w:color="auto" w:fill="5668B0"/>
          </w:tcPr>
          <w:p>
            <w:pPr>
              <w:jc w:val="right"/>
              <w:ind w:right="33"/>
              <w:spacing w:after="0" w:line="148" w:lineRule="exact"/>
              <w:rPr>
                <w:sz w:val="20"/>
                <w:szCs w:val="20"/>
                <w:color w:val="auto"/>
              </w:rPr>
            </w:pPr>
            <w:r>
              <w:rPr>
                <w:rFonts w:ascii="Arial" w:cs="Arial" w:eastAsia="Arial" w:hAnsi="Arial"/>
                <w:sz w:val="13"/>
                <w:szCs w:val="13"/>
                <w:color w:val="FFFFFE"/>
              </w:rPr>
              <w:t>(h)</w:t>
            </w:r>
          </w:p>
        </w:tc>
        <w:tc>
          <w:tcPr>
            <w:tcW w:w="800" w:type="dxa"/>
            <w:vAlign w:val="bottom"/>
            <w:shd w:val="clear" w:color="auto" w:fill="5668B0"/>
          </w:tcPr>
          <w:p>
            <w:pPr>
              <w:jc w:val="right"/>
              <w:ind w:right="53"/>
              <w:spacing w:after="0" w:line="148" w:lineRule="exact"/>
              <w:rPr>
                <w:sz w:val="20"/>
                <w:szCs w:val="20"/>
                <w:color w:val="auto"/>
              </w:rPr>
            </w:pPr>
            <w:r>
              <w:rPr>
                <w:rFonts w:ascii="Arial" w:cs="Arial" w:eastAsia="Arial" w:hAnsi="Arial"/>
                <w:sz w:val="13"/>
                <w:szCs w:val="13"/>
                <w:color w:val="FFFFFE"/>
              </w:rPr>
              <w:t>(i)</w:t>
            </w:r>
          </w:p>
        </w:tc>
        <w:tc>
          <w:tcPr>
            <w:tcW w:w="66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(j)</w:t>
            </w:r>
          </w:p>
        </w:tc>
        <w:tc>
          <w:tcPr>
            <w:tcW w:w="0" w:type="dxa"/>
            <w:vAlign w:val="bottom"/>
          </w:tcPr>
          <w:p>
            <w:pPr>
              <w:spacing w:after="0"/>
              <w:rPr>
                <w:sz w:val="1"/>
                <w:szCs w:val="1"/>
                <w:color w:val="auto"/>
              </w:rPr>
            </w:pPr>
          </w:p>
        </w:tc>
      </w:tr>
      <w:tr>
        <w:trPr>
          <w:trHeight w:val="156"/>
        </w:trPr>
        <w:tc>
          <w:tcPr>
            <w:tcW w:w="780" w:type="dxa"/>
            <w:vAlign w:val="bottom"/>
            <w:shd w:val="clear" w:color="auto" w:fill="E6ECF8"/>
          </w:tcPr>
          <w:p>
            <w:pPr>
              <w:ind w:left="20"/>
              <w:spacing w:after="0"/>
              <w:rPr>
                <w:sz w:val="20"/>
                <w:szCs w:val="20"/>
                <w:color w:val="auto"/>
              </w:rPr>
            </w:pPr>
            <w:r>
              <w:rPr>
                <w:rFonts w:ascii="Arial" w:cs="Arial" w:eastAsia="Arial" w:hAnsi="Arial"/>
                <w:sz w:val="13"/>
                <w:szCs w:val="13"/>
                <w:color w:val="auto"/>
              </w:rPr>
              <w:t>Neil Stahl,</w:t>
            </w:r>
          </w:p>
        </w:tc>
        <w:tc>
          <w:tcPr>
            <w:tcW w:w="1020" w:type="dxa"/>
            <w:vAlign w:val="bottom"/>
            <w:shd w:val="clear" w:color="auto" w:fill="E6ECF8"/>
          </w:tcPr>
          <w:p>
            <w:pPr>
              <w:spacing w:after="0"/>
              <w:rPr>
                <w:sz w:val="13"/>
                <w:szCs w:val="13"/>
                <w:color w:val="auto"/>
              </w:rPr>
            </w:pPr>
          </w:p>
        </w:tc>
        <w:tc>
          <w:tcPr>
            <w:tcW w:w="1020" w:type="dxa"/>
            <w:vAlign w:val="bottom"/>
            <w:vMerge w:val="restart"/>
            <w:shd w:val="clear" w:color="auto" w:fill="E6ECF8"/>
          </w:tcPr>
          <w:p>
            <w:pPr>
              <w:jc w:val="right"/>
              <w:ind w:right="14"/>
              <w:spacing w:after="0"/>
              <w:rPr>
                <w:sz w:val="20"/>
                <w:szCs w:val="20"/>
                <w:color w:val="auto"/>
              </w:rPr>
            </w:pPr>
            <w:r>
              <w:rPr>
                <w:rFonts w:ascii="Arial" w:cs="Arial" w:eastAsia="Arial" w:hAnsi="Arial"/>
                <w:sz w:val="13"/>
                <w:szCs w:val="13"/>
                <w:color w:val="auto"/>
              </w:rPr>
              <w:t>68,638</w:t>
            </w:r>
            <w:r>
              <w:rPr>
                <w:rFonts w:ascii="Arial" w:cs="Arial" w:eastAsia="Arial" w:hAnsi="Arial"/>
                <w:sz w:val="20"/>
                <w:szCs w:val="20"/>
                <w:color w:val="5668B0"/>
                <w:vertAlign w:val="superscript"/>
              </w:rPr>
              <w:t>1</w:t>
            </w:r>
          </w:p>
        </w:tc>
        <w:tc>
          <w:tcPr>
            <w:tcW w:w="900" w:type="dxa"/>
            <w:vAlign w:val="bottom"/>
            <w:shd w:val="clear" w:color="auto" w:fill="E6ECF8"/>
          </w:tcPr>
          <w:p>
            <w:pPr>
              <w:spacing w:after="0"/>
              <w:rPr>
                <w:sz w:val="13"/>
                <w:szCs w:val="13"/>
                <w:color w:val="auto"/>
              </w:rPr>
            </w:pPr>
          </w:p>
        </w:tc>
        <w:tc>
          <w:tcPr>
            <w:tcW w:w="720" w:type="dxa"/>
            <w:vAlign w:val="bottom"/>
            <w:shd w:val="clear" w:color="auto" w:fill="E6ECF8"/>
          </w:tcPr>
          <w:p>
            <w:pPr>
              <w:spacing w:after="0"/>
              <w:rPr>
                <w:sz w:val="13"/>
                <w:szCs w:val="13"/>
                <w:color w:val="auto"/>
              </w:rPr>
            </w:pPr>
          </w:p>
        </w:tc>
        <w:tc>
          <w:tcPr>
            <w:tcW w:w="920" w:type="dxa"/>
            <w:vAlign w:val="bottom"/>
            <w:shd w:val="clear" w:color="auto" w:fill="E6ECF8"/>
          </w:tcPr>
          <w:p>
            <w:pPr>
              <w:spacing w:after="0"/>
              <w:rPr>
                <w:sz w:val="13"/>
                <w:szCs w:val="13"/>
                <w:color w:val="auto"/>
              </w:rPr>
            </w:pPr>
          </w:p>
        </w:tc>
        <w:tc>
          <w:tcPr>
            <w:tcW w:w="700" w:type="dxa"/>
            <w:vAlign w:val="bottom"/>
            <w:shd w:val="clear" w:color="auto" w:fill="E6ECF8"/>
          </w:tcPr>
          <w:p>
            <w:pPr>
              <w:spacing w:after="0"/>
              <w:rPr>
                <w:sz w:val="13"/>
                <w:szCs w:val="13"/>
                <w:color w:val="auto"/>
              </w:rPr>
            </w:pPr>
          </w:p>
        </w:tc>
        <w:tc>
          <w:tcPr>
            <w:tcW w:w="900" w:type="dxa"/>
            <w:vAlign w:val="bottom"/>
            <w:shd w:val="clear" w:color="auto" w:fill="E6ECF8"/>
          </w:tcPr>
          <w:p>
            <w:pPr>
              <w:spacing w:after="0"/>
              <w:rPr>
                <w:sz w:val="13"/>
                <w:szCs w:val="13"/>
                <w:color w:val="auto"/>
              </w:rPr>
            </w:pPr>
          </w:p>
        </w:tc>
        <w:tc>
          <w:tcPr>
            <w:tcW w:w="800" w:type="dxa"/>
            <w:vAlign w:val="bottom"/>
            <w:shd w:val="clear" w:color="auto" w:fill="E6ECF8"/>
          </w:tcPr>
          <w:p>
            <w:pPr>
              <w:spacing w:after="0"/>
              <w:rPr>
                <w:sz w:val="13"/>
                <w:szCs w:val="13"/>
                <w:color w:val="auto"/>
              </w:rPr>
            </w:pPr>
          </w:p>
        </w:tc>
        <w:tc>
          <w:tcPr>
            <w:tcW w:w="660" w:type="dxa"/>
            <w:vAlign w:val="bottom"/>
            <w:shd w:val="clear" w:color="auto" w:fill="E6ECF8"/>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shd w:val="clear" w:color="auto" w:fill="E6ECF8"/>
          </w:tcPr>
          <w:p>
            <w:pPr>
              <w:ind w:left="140"/>
              <w:spacing w:after="0" w:line="122" w:lineRule="exact"/>
              <w:rPr>
                <w:sz w:val="20"/>
                <w:szCs w:val="20"/>
                <w:color w:val="auto"/>
              </w:rPr>
            </w:pPr>
            <w:r>
              <w:rPr>
                <w:rFonts w:ascii="Arial" w:cs="Arial" w:eastAsia="Arial" w:hAnsi="Arial"/>
                <w:sz w:val="13"/>
                <w:szCs w:val="13"/>
                <w:color w:val="auto"/>
              </w:rPr>
              <w:t>Ph.D.</w:t>
            </w:r>
          </w:p>
        </w:tc>
        <w:tc>
          <w:tcPr>
            <w:tcW w:w="1020" w:type="dxa"/>
            <w:vAlign w:val="bottom"/>
            <w:shd w:val="clear" w:color="auto" w:fill="E6ECF8"/>
          </w:tcPr>
          <w:p>
            <w:pPr>
              <w:jc w:val="right"/>
              <w:ind w:right="93"/>
              <w:spacing w:after="0" w:line="122" w:lineRule="exact"/>
              <w:rPr>
                <w:sz w:val="20"/>
                <w:szCs w:val="20"/>
                <w:color w:val="auto"/>
              </w:rPr>
            </w:pPr>
            <w:r>
              <w:rPr>
                <w:rFonts w:ascii="Arial" w:cs="Arial" w:eastAsia="Arial" w:hAnsi="Arial"/>
                <w:sz w:val="13"/>
                <w:szCs w:val="13"/>
                <w:color w:val="auto"/>
              </w:rPr>
              <w:t>—</w:t>
            </w:r>
          </w:p>
        </w:tc>
        <w:tc>
          <w:tcPr>
            <w:tcW w:w="1020" w:type="dxa"/>
            <w:vAlign w:val="bottom"/>
            <w:vMerge w:val="continue"/>
            <w:shd w:val="clear" w:color="auto" w:fill="E6ECF8"/>
          </w:tcPr>
          <w:p>
            <w:pPr>
              <w:spacing w:after="0"/>
              <w:rPr>
                <w:sz w:val="10"/>
                <w:szCs w:val="10"/>
                <w:color w:val="auto"/>
              </w:rPr>
            </w:pPr>
          </w:p>
        </w:tc>
        <w:tc>
          <w:tcPr>
            <w:tcW w:w="900" w:type="dxa"/>
            <w:vAlign w:val="bottom"/>
            <w:shd w:val="clear" w:color="auto" w:fill="E6ECF8"/>
          </w:tcPr>
          <w:p>
            <w:pPr>
              <w:jc w:val="right"/>
              <w:ind w:right="33"/>
              <w:spacing w:after="0" w:line="122" w:lineRule="exact"/>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line="122" w:lineRule="exact"/>
              <w:rPr>
                <w:sz w:val="20"/>
                <w:szCs w:val="20"/>
                <w:color w:val="auto"/>
              </w:rPr>
            </w:pPr>
            <w:r>
              <w:rPr>
                <w:rFonts w:ascii="Arial" w:cs="Arial" w:eastAsia="Arial" w:hAnsi="Arial"/>
                <w:sz w:val="13"/>
                <w:szCs w:val="13"/>
                <w:color w:val="auto"/>
              </w:rPr>
              <w:t>555.67</w:t>
            </w:r>
          </w:p>
        </w:tc>
        <w:tc>
          <w:tcPr>
            <w:tcW w:w="920" w:type="dxa"/>
            <w:vAlign w:val="bottom"/>
            <w:shd w:val="clear" w:color="auto" w:fill="E6ECF8"/>
          </w:tcPr>
          <w:p>
            <w:pPr>
              <w:jc w:val="right"/>
              <w:ind w:right="73"/>
              <w:spacing w:after="0" w:line="122" w:lineRule="exact"/>
              <w:rPr>
                <w:sz w:val="20"/>
                <w:szCs w:val="20"/>
                <w:color w:val="auto"/>
              </w:rPr>
            </w:pPr>
            <w:r>
              <w:rPr>
                <w:rFonts w:ascii="Arial" w:cs="Arial" w:eastAsia="Arial" w:hAnsi="Arial"/>
                <w:sz w:val="13"/>
                <w:szCs w:val="13"/>
                <w:color w:val="auto"/>
              </w:rPr>
              <w:t>12/16/2025</w:t>
            </w:r>
          </w:p>
        </w:tc>
        <w:tc>
          <w:tcPr>
            <w:tcW w:w="700" w:type="dxa"/>
            <w:vAlign w:val="bottom"/>
            <w:shd w:val="clear" w:color="auto" w:fill="E6ECF8"/>
          </w:tcPr>
          <w:p>
            <w:pPr>
              <w:jc w:val="right"/>
              <w:ind w:right="93"/>
              <w:spacing w:after="0" w:line="122" w:lineRule="exact"/>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line="122" w:lineRule="exact"/>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E6ECF8"/>
          </w:tcPr>
          <w:p>
            <w:pPr>
              <w:spacing w:after="0"/>
              <w:rPr>
                <w:sz w:val="13"/>
                <w:szCs w:val="13"/>
                <w:color w:val="auto"/>
              </w:rPr>
            </w:pPr>
          </w:p>
        </w:tc>
        <w:tc>
          <w:tcPr>
            <w:tcW w:w="102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20,188</w:t>
            </w:r>
          </w:p>
        </w:tc>
        <w:tc>
          <w:tcPr>
            <w:tcW w:w="1020" w:type="dxa"/>
            <w:vAlign w:val="bottom"/>
            <w:shd w:val="clear" w:color="auto" w:fill="E6ECF8"/>
          </w:tcPr>
          <w:p>
            <w:pPr>
              <w:jc w:val="right"/>
              <w:ind w:right="14"/>
              <w:spacing w:after="0" w:line="152" w:lineRule="exact"/>
              <w:rPr>
                <w:sz w:val="20"/>
                <w:szCs w:val="20"/>
                <w:color w:val="auto"/>
              </w:rPr>
            </w:pPr>
            <w:r>
              <w:rPr>
                <w:rFonts w:ascii="Arial" w:cs="Arial" w:eastAsia="Arial" w:hAnsi="Arial"/>
                <w:sz w:val="12"/>
                <w:szCs w:val="12"/>
                <w:color w:val="auto"/>
              </w:rPr>
              <w:t>60,562</w:t>
            </w:r>
            <w:r>
              <w:rPr>
                <w:rFonts w:ascii="Arial" w:cs="Arial" w:eastAsia="Arial" w:hAnsi="Arial"/>
                <w:sz w:val="17"/>
                <w:szCs w:val="17"/>
                <w:color w:val="5668B0"/>
                <w:vertAlign w:val="superscript"/>
              </w:rPr>
              <w:t>2</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399.66</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12/16/2024</w:t>
            </w:r>
          </w:p>
        </w:tc>
        <w:tc>
          <w:tcPr>
            <w:tcW w:w="7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780" w:type="dxa"/>
            <w:vAlign w:val="bottom"/>
            <w:shd w:val="clear" w:color="auto" w:fill="E6ECF8"/>
          </w:tcPr>
          <w:p>
            <w:pPr>
              <w:spacing w:after="0"/>
              <w:rPr>
                <w:sz w:val="15"/>
                <w:szCs w:val="15"/>
                <w:color w:val="auto"/>
              </w:rPr>
            </w:pPr>
          </w:p>
        </w:tc>
        <w:tc>
          <w:tcPr>
            <w:tcW w:w="102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47,500</w:t>
            </w:r>
          </w:p>
        </w:tc>
        <w:tc>
          <w:tcPr>
            <w:tcW w:w="1020" w:type="dxa"/>
            <w:vAlign w:val="bottom"/>
            <w:shd w:val="clear" w:color="auto" w:fill="E6ECF8"/>
          </w:tcPr>
          <w:p>
            <w:pPr>
              <w:jc w:val="right"/>
              <w:ind w:right="14"/>
              <w:spacing w:after="0" w:line="177" w:lineRule="exact"/>
              <w:rPr>
                <w:sz w:val="20"/>
                <w:szCs w:val="20"/>
                <w:color w:val="auto"/>
              </w:rPr>
            </w:pPr>
            <w:r>
              <w:rPr>
                <w:rFonts w:ascii="Arial" w:cs="Arial" w:eastAsia="Arial" w:hAnsi="Arial"/>
                <w:sz w:val="13"/>
                <w:szCs w:val="13"/>
                <w:color w:val="auto"/>
              </w:rPr>
              <w:t>47,500</w:t>
            </w:r>
            <w:r>
              <w:rPr>
                <w:rFonts w:ascii="Arial" w:cs="Arial" w:eastAsia="Arial" w:hAnsi="Arial"/>
                <w:sz w:val="20"/>
                <w:szCs w:val="20"/>
                <w:color w:val="5668B0"/>
                <w:vertAlign w:val="superscript"/>
              </w:rPr>
              <w:t>3</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270.43</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12/13/2023</w:t>
            </w:r>
          </w:p>
        </w:tc>
        <w:tc>
          <w:tcPr>
            <w:tcW w:w="7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780" w:type="dxa"/>
            <w:vAlign w:val="bottom"/>
            <w:shd w:val="clear" w:color="auto" w:fill="E6ECF8"/>
          </w:tcPr>
          <w:p>
            <w:pPr>
              <w:spacing w:after="0"/>
              <w:rPr>
                <w:sz w:val="11"/>
                <w:szCs w:val="11"/>
                <w:color w:val="auto"/>
              </w:rPr>
            </w:pPr>
          </w:p>
        </w:tc>
        <w:tc>
          <w:tcPr>
            <w:tcW w:w="1020" w:type="dxa"/>
            <w:vAlign w:val="bottom"/>
            <w:shd w:val="clear" w:color="auto" w:fill="E6ECF8"/>
          </w:tcPr>
          <w:p>
            <w:pPr>
              <w:jc w:val="right"/>
              <w:ind w:right="93"/>
              <w:spacing w:after="0" w:line="127" w:lineRule="exact"/>
              <w:rPr>
                <w:sz w:val="20"/>
                <w:szCs w:val="20"/>
                <w:color w:val="auto"/>
              </w:rPr>
            </w:pPr>
            <w:r>
              <w:rPr>
                <w:rFonts w:ascii="Arial" w:cs="Arial" w:eastAsia="Arial" w:hAnsi="Arial"/>
                <w:sz w:val="13"/>
                <w:szCs w:val="13"/>
                <w:color w:val="auto"/>
              </w:rPr>
              <w:t>4,527</w:t>
            </w:r>
          </w:p>
        </w:tc>
        <w:tc>
          <w:tcPr>
            <w:tcW w:w="1020" w:type="dxa"/>
            <w:vAlign w:val="bottom"/>
            <w:shd w:val="clear" w:color="auto" w:fill="E6ECF8"/>
          </w:tcPr>
          <w:p>
            <w:pPr>
              <w:jc w:val="right"/>
              <w:ind w:right="74"/>
              <w:spacing w:after="0" w:line="127" w:lineRule="exact"/>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line="127" w:lineRule="exact"/>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line="127" w:lineRule="exact"/>
              <w:rPr>
                <w:sz w:val="20"/>
                <w:szCs w:val="20"/>
                <w:color w:val="auto"/>
              </w:rPr>
            </w:pPr>
            <w:r>
              <w:rPr>
                <w:rFonts w:ascii="Arial" w:cs="Arial" w:eastAsia="Arial" w:hAnsi="Arial"/>
                <w:sz w:val="13"/>
                <w:szCs w:val="13"/>
                <w:color w:val="auto"/>
              </w:rPr>
              <w:t>268.40</w:t>
            </w:r>
          </w:p>
        </w:tc>
        <w:tc>
          <w:tcPr>
            <w:tcW w:w="920" w:type="dxa"/>
            <w:vAlign w:val="bottom"/>
            <w:shd w:val="clear" w:color="auto" w:fill="E6ECF8"/>
          </w:tcPr>
          <w:p>
            <w:pPr>
              <w:jc w:val="right"/>
              <w:ind w:right="73"/>
              <w:spacing w:after="0" w:line="127" w:lineRule="exact"/>
              <w:rPr>
                <w:sz w:val="20"/>
                <w:szCs w:val="20"/>
                <w:color w:val="auto"/>
              </w:rPr>
            </w:pPr>
            <w:r>
              <w:rPr>
                <w:rFonts w:ascii="Arial" w:cs="Arial" w:eastAsia="Arial" w:hAnsi="Arial"/>
                <w:sz w:val="13"/>
                <w:szCs w:val="13"/>
                <w:color w:val="auto"/>
              </w:rPr>
              <w:t>12/17/2017</w:t>
            </w:r>
          </w:p>
        </w:tc>
        <w:tc>
          <w:tcPr>
            <w:tcW w:w="700" w:type="dxa"/>
            <w:vAlign w:val="bottom"/>
            <w:shd w:val="clear" w:color="auto" w:fill="E6ECF8"/>
          </w:tcPr>
          <w:p>
            <w:pPr>
              <w:jc w:val="right"/>
              <w:ind w:right="93"/>
              <w:spacing w:after="0" w:line="127" w:lineRule="exact"/>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line="127" w:lineRule="exact"/>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line="127" w:lineRule="exact"/>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line="12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780" w:type="dxa"/>
            <w:vAlign w:val="bottom"/>
            <w:shd w:val="clear" w:color="auto" w:fill="E6ECF8"/>
          </w:tcPr>
          <w:p>
            <w:pPr>
              <w:spacing w:after="0"/>
              <w:rPr>
                <w:sz w:val="15"/>
                <w:szCs w:val="15"/>
                <w:color w:val="auto"/>
              </w:rPr>
            </w:pPr>
          </w:p>
        </w:tc>
        <w:tc>
          <w:tcPr>
            <w:tcW w:w="102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84,375</w:t>
            </w:r>
          </w:p>
        </w:tc>
        <w:tc>
          <w:tcPr>
            <w:tcW w:w="1020" w:type="dxa"/>
            <w:vAlign w:val="bottom"/>
            <w:shd w:val="clear" w:color="auto" w:fill="E6ECF8"/>
          </w:tcPr>
          <w:p>
            <w:pPr>
              <w:jc w:val="right"/>
              <w:ind w:right="14"/>
              <w:spacing w:after="0" w:line="177" w:lineRule="exact"/>
              <w:rPr>
                <w:sz w:val="20"/>
                <w:szCs w:val="20"/>
                <w:color w:val="auto"/>
              </w:rPr>
            </w:pPr>
            <w:r>
              <w:rPr>
                <w:rFonts w:ascii="Arial" w:cs="Arial" w:eastAsia="Arial" w:hAnsi="Arial"/>
                <w:sz w:val="13"/>
                <w:szCs w:val="13"/>
                <w:color w:val="auto"/>
              </w:rPr>
              <w:t>28,125</w:t>
            </w:r>
            <w:r>
              <w:rPr>
                <w:rFonts w:ascii="Arial" w:cs="Arial" w:eastAsia="Arial" w:hAnsi="Arial"/>
                <w:sz w:val="20"/>
                <w:szCs w:val="20"/>
                <w:color w:val="5668B0"/>
                <w:vertAlign w:val="superscript"/>
              </w:rPr>
              <w:t>4</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179.13</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12/14/2022</w:t>
            </w:r>
          </w:p>
        </w:tc>
        <w:tc>
          <w:tcPr>
            <w:tcW w:w="7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E6ECF8"/>
          </w:tcPr>
          <w:p>
            <w:pPr>
              <w:spacing w:after="0"/>
              <w:rPr>
                <w:sz w:val="13"/>
                <w:szCs w:val="13"/>
                <w:color w:val="auto"/>
              </w:rPr>
            </w:pPr>
          </w:p>
        </w:tc>
        <w:tc>
          <w:tcPr>
            <w:tcW w:w="102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6,017</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145.70</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12/17/2017</w:t>
            </w:r>
          </w:p>
        </w:tc>
        <w:tc>
          <w:tcPr>
            <w:tcW w:w="7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E6ECF8"/>
          </w:tcPr>
          <w:p>
            <w:pPr>
              <w:spacing w:after="0"/>
              <w:rPr>
                <w:sz w:val="13"/>
                <w:szCs w:val="13"/>
                <w:color w:val="auto"/>
              </w:rPr>
            </w:pPr>
          </w:p>
        </w:tc>
        <w:tc>
          <w:tcPr>
            <w:tcW w:w="102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48,079</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E6ECF8"/>
          </w:tcPr>
          <w:p>
            <w:pPr>
              <w:spacing w:after="0"/>
              <w:rPr>
                <w:sz w:val="13"/>
                <w:szCs w:val="13"/>
                <w:color w:val="auto"/>
              </w:rPr>
            </w:pPr>
          </w:p>
        </w:tc>
        <w:tc>
          <w:tcPr>
            <w:tcW w:w="102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75,000</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E6ECF8"/>
          </w:tcPr>
          <w:p>
            <w:pPr>
              <w:spacing w:after="0"/>
              <w:rPr>
                <w:sz w:val="13"/>
                <w:szCs w:val="13"/>
                <w:color w:val="auto"/>
              </w:rPr>
            </w:pPr>
          </w:p>
        </w:tc>
        <w:tc>
          <w:tcPr>
            <w:tcW w:w="102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46,736</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12/14/2020</w:t>
            </w:r>
          </w:p>
        </w:tc>
        <w:tc>
          <w:tcPr>
            <w:tcW w:w="7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E6ECF8"/>
          </w:tcPr>
          <w:p>
            <w:pPr>
              <w:spacing w:after="0"/>
              <w:rPr>
                <w:sz w:val="13"/>
                <w:szCs w:val="13"/>
                <w:color w:val="auto"/>
              </w:rPr>
            </w:pPr>
          </w:p>
        </w:tc>
        <w:tc>
          <w:tcPr>
            <w:tcW w:w="102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20,295</w:t>
            </w:r>
          </w:p>
        </w:tc>
        <w:tc>
          <w:tcPr>
            <w:tcW w:w="102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21.25</w:t>
            </w:r>
          </w:p>
        </w:tc>
        <w:tc>
          <w:tcPr>
            <w:tcW w:w="92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12/18/2019</w:t>
            </w:r>
          </w:p>
        </w:tc>
        <w:tc>
          <w:tcPr>
            <w:tcW w:w="7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80" w:type="dxa"/>
            <w:vAlign w:val="bottom"/>
            <w:tcBorders>
              <w:bottom w:val="single" w:sz="8" w:color="5668B0"/>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1020" w:type="dxa"/>
            <w:vAlign w:val="bottom"/>
            <w:tcBorders>
              <w:bottom w:val="single" w:sz="8" w:color="5668B0"/>
            </w:tcBorders>
            <w:shd w:val="clear" w:color="auto" w:fill="E6ECF8"/>
          </w:tcPr>
          <w:p>
            <w:pPr>
              <w:jc w:val="right"/>
              <w:ind w:right="93"/>
              <w:spacing w:after="0"/>
              <w:rPr>
                <w:sz w:val="20"/>
                <w:szCs w:val="20"/>
                <w:color w:val="auto"/>
              </w:rPr>
            </w:pPr>
            <w:r>
              <w:rPr>
                <w:rFonts w:ascii="Arial" w:cs="Arial" w:eastAsia="Arial" w:hAnsi="Arial"/>
                <w:sz w:val="13"/>
                <w:szCs w:val="13"/>
                <w:b w:val="1"/>
                <w:bCs w:val="1"/>
                <w:color w:val="auto"/>
              </w:rPr>
              <w:t>352,717</w:t>
            </w:r>
          </w:p>
        </w:tc>
        <w:tc>
          <w:tcPr>
            <w:tcW w:w="1020" w:type="dxa"/>
            <w:vAlign w:val="bottom"/>
            <w:tcBorders>
              <w:bottom w:val="single" w:sz="8" w:color="5668B0"/>
            </w:tcBorders>
            <w:shd w:val="clear" w:color="auto" w:fill="E6ECF8"/>
          </w:tcPr>
          <w:p>
            <w:pPr>
              <w:jc w:val="right"/>
              <w:ind w:right="74"/>
              <w:spacing w:after="0"/>
              <w:rPr>
                <w:sz w:val="20"/>
                <w:szCs w:val="20"/>
                <w:color w:val="auto"/>
              </w:rPr>
            </w:pPr>
            <w:r>
              <w:rPr>
                <w:rFonts w:ascii="Arial" w:cs="Arial" w:eastAsia="Arial" w:hAnsi="Arial"/>
                <w:sz w:val="13"/>
                <w:szCs w:val="13"/>
                <w:b w:val="1"/>
                <w:bCs w:val="1"/>
                <w:color w:val="auto"/>
              </w:rPr>
              <w:t>204,825</w:t>
            </w:r>
          </w:p>
        </w:tc>
        <w:tc>
          <w:tcPr>
            <w:tcW w:w="900" w:type="dxa"/>
            <w:vAlign w:val="bottom"/>
            <w:tcBorders>
              <w:bottom w:val="single" w:sz="8" w:color="5668B0"/>
            </w:tcBorders>
            <w:shd w:val="clear" w:color="auto" w:fill="E6ECF8"/>
          </w:tcPr>
          <w:p>
            <w:pPr>
              <w:spacing w:after="0"/>
              <w:rPr>
                <w:sz w:val="16"/>
                <w:szCs w:val="16"/>
                <w:color w:val="auto"/>
              </w:rPr>
            </w:pPr>
          </w:p>
        </w:tc>
        <w:tc>
          <w:tcPr>
            <w:tcW w:w="720" w:type="dxa"/>
            <w:vAlign w:val="bottom"/>
            <w:tcBorders>
              <w:bottom w:val="single" w:sz="8" w:color="5668B0"/>
            </w:tcBorders>
            <w:shd w:val="clear" w:color="auto" w:fill="E6ECF8"/>
          </w:tcPr>
          <w:p>
            <w:pPr>
              <w:spacing w:after="0"/>
              <w:rPr>
                <w:sz w:val="16"/>
                <w:szCs w:val="16"/>
                <w:color w:val="auto"/>
              </w:rPr>
            </w:pPr>
          </w:p>
        </w:tc>
        <w:tc>
          <w:tcPr>
            <w:tcW w:w="920" w:type="dxa"/>
            <w:vAlign w:val="bottom"/>
            <w:tcBorders>
              <w:bottom w:val="single" w:sz="8" w:color="5668B0"/>
            </w:tcBorders>
            <w:shd w:val="clear" w:color="auto" w:fill="E6ECF8"/>
          </w:tcPr>
          <w:p>
            <w:pPr>
              <w:spacing w:after="0"/>
              <w:rPr>
                <w:sz w:val="16"/>
                <w:szCs w:val="16"/>
                <w:color w:val="auto"/>
              </w:rPr>
            </w:pPr>
          </w:p>
        </w:tc>
        <w:tc>
          <w:tcPr>
            <w:tcW w:w="700" w:type="dxa"/>
            <w:vAlign w:val="bottom"/>
            <w:tcBorders>
              <w:bottom w:val="single" w:sz="8" w:color="5668B0"/>
            </w:tcBorders>
            <w:shd w:val="clear" w:color="auto" w:fill="E6ECF8"/>
          </w:tcPr>
          <w:p>
            <w:pPr>
              <w:spacing w:after="0"/>
              <w:rPr>
                <w:sz w:val="16"/>
                <w:szCs w:val="16"/>
                <w:color w:val="auto"/>
              </w:rPr>
            </w:pPr>
          </w:p>
        </w:tc>
        <w:tc>
          <w:tcPr>
            <w:tcW w:w="900" w:type="dxa"/>
            <w:vAlign w:val="bottom"/>
            <w:tcBorders>
              <w:bottom w:val="single" w:sz="8" w:color="5668B0"/>
            </w:tcBorders>
            <w:shd w:val="clear" w:color="auto" w:fill="E6ECF8"/>
          </w:tcPr>
          <w:p>
            <w:pPr>
              <w:spacing w:after="0"/>
              <w:rPr>
                <w:sz w:val="16"/>
                <w:szCs w:val="16"/>
                <w:color w:val="auto"/>
              </w:rPr>
            </w:pPr>
          </w:p>
        </w:tc>
        <w:tc>
          <w:tcPr>
            <w:tcW w:w="800" w:type="dxa"/>
            <w:vAlign w:val="bottom"/>
            <w:tcBorders>
              <w:bottom w:val="single" w:sz="8" w:color="5668B0"/>
            </w:tcBorders>
            <w:shd w:val="clear" w:color="auto" w:fill="E6ECF8"/>
          </w:tcPr>
          <w:p>
            <w:pPr>
              <w:spacing w:after="0"/>
              <w:rPr>
                <w:sz w:val="16"/>
                <w:szCs w:val="16"/>
                <w:color w:val="auto"/>
              </w:rPr>
            </w:pPr>
          </w:p>
        </w:tc>
        <w:tc>
          <w:tcPr>
            <w:tcW w:w="660" w:type="dxa"/>
            <w:vAlign w:val="bottom"/>
            <w:tcBorders>
              <w:bottom w:val="single" w:sz="8" w:color="5668B0"/>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D0DBEF"/>
          </w:tcPr>
          <w:p>
            <w:pPr>
              <w:ind w:left="20"/>
              <w:spacing w:after="0"/>
              <w:rPr>
                <w:sz w:val="20"/>
                <w:szCs w:val="20"/>
                <w:color w:val="auto"/>
              </w:rPr>
            </w:pPr>
            <w:r>
              <w:rPr>
                <w:rFonts w:ascii="Arial" w:cs="Arial" w:eastAsia="Arial" w:hAnsi="Arial"/>
                <w:sz w:val="13"/>
                <w:szCs w:val="13"/>
                <w:color w:val="auto"/>
              </w:rPr>
              <w:t>Robert J.</w:t>
            </w:r>
          </w:p>
        </w:tc>
        <w:tc>
          <w:tcPr>
            <w:tcW w:w="1020" w:type="dxa"/>
            <w:vAlign w:val="bottom"/>
            <w:shd w:val="clear" w:color="auto" w:fill="D0DBEF"/>
          </w:tcPr>
          <w:p>
            <w:pPr>
              <w:spacing w:after="0"/>
              <w:rPr>
                <w:sz w:val="12"/>
                <w:szCs w:val="12"/>
                <w:color w:val="auto"/>
              </w:rPr>
            </w:pPr>
          </w:p>
        </w:tc>
        <w:tc>
          <w:tcPr>
            <w:tcW w:w="1020" w:type="dxa"/>
            <w:vAlign w:val="bottom"/>
            <w:vMerge w:val="restart"/>
            <w:shd w:val="clear" w:color="auto" w:fill="D0DBEF"/>
          </w:tcPr>
          <w:p>
            <w:pPr>
              <w:jc w:val="right"/>
              <w:ind w:right="14"/>
              <w:spacing w:after="0"/>
              <w:rPr>
                <w:sz w:val="20"/>
                <w:szCs w:val="20"/>
                <w:color w:val="auto"/>
              </w:rPr>
            </w:pPr>
            <w:r>
              <w:rPr>
                <w:rFonts w:ascii="Arial" w:cs="Arial" w:eastAsia="Arial" w:hAnsi="Arial"/>
                <w:sz w:val="13"/>
                <w:szCs w:val="13"/>
                <w:color w:val="auto"/>
              </w:rPr>
              <w:t>40,000</w:t>
            </w:r>
            <w:r>
              <w:rPr>
                <w:rFonts w:ascii="Arial" w:cs="Arial" w:eastAsia="Arial" w:hAnsi="Arial"/>
                <w:sz w:val="20"/>
                <w:szCs w:val="20"/>
                <w:color w:val="5668B0"/>
                <w:vertAlign w:val="superscript"/>
              </w:rPr>
              <w:t>1</w:t>
            </w:r>
          </w:p>
        </w:tc>
        <w:tc>
          <w:tcPr>
            <w:tcW w:w="900" w:type="dxa"/>
            <w:vAlign w:val="bottom"/>
            <w:shd w:val="clear" w:color="auto" w:fill="D0DBEF"/>
          </w:tcPr>
          <w:p>
            <w:pPr>
              <w:spacing w:after="0"/>
              <w:rPr>
                <w:sz w:val="12"/>
                <w:szCs w:val="12"/>
                <w:color w:val="auto"/>
              </w:rPr>
            </w:pPr>
          </w:p>
        </w:tc>
        <w:tc>
          <w:tcPr>
            <w:tcW w:w="720" w:type="dxa"/>
            <w:vAlign w:val="bottom"/>
            <w:shd w:val="clear" w:color="auto" w:fill="D0DBEF"/>
          </w:tcPr>
          <w:p>
            <w:pPr>
              <w:spacing w:after="0"/>
              <w:rPr>
                <w:sz w:val="12"/>
                <w:szCs w:val="12"/>
                <w:color w:val="auto"/>
              </w:rPr>
            </w:pPr>
          </w:p>
        </w:tc>
        <w:tc>
          <w:tcPr>
            <w:tcW w:w="920" w:type="dxa"/>
            <w:vAlign w:val="bottom"/>
            <w:shd w:val="clear" w:color="auto" w:fill="D0DBEF"/>
          </w:tcPr>
          <w:p>
            <w:pPr>
              <w:spacing w:after="0"/>
              <w:rPr>
                <w:sz w:val="12"/>
                <w:szCs w:val="12"/>
                <w:color w:val="auto"/>
              </w:rPr>
            </w:pPr>
          </w:p>
        </w:tc>
        <w:tc>
          <w:tcPr>
            <w:tcW w:w="700" w:type="dxa"/>
            <w:vAlign w:val="bottom"/>
            <w:shd w:val="clear" w:color="auto" w:fill="D0DBEF"/>
          </w:tcPr>
          <w:p>
            <w:pPr>
              <w:spacing w:after="0"/>
              <w:rPr>
                <w:sz w:val="12"/>
                <w:szCs w:val="12"/>
                <w:color w:val="auto"/>
              </w:rPr>
            </w:pPr>
          </w:p>
        </w:tc>
        <w:tc>
          <w:tcPr>
            <w:tcW w:w="900" w:type="dxa"/>
            <w:vAlign w:val="bottom"/>
            <w:shd w:val="clear" w:color="auto" w:fill="D0DBEF"/>
          </w:tcPr>
          <w:p>
            <w:pPr>
              <w:spacing w:after="0"/>
              <w:rPr>
                <w:sz w:val="12"/>
                <w:szCs w:val="12"/>
                <w:color w:val="auto"/>
              </w:rPr>
            </w:pPr>
          </w:p>
        </w:tc>
        <w:tc>
          <w:tcPr>
            <w:tcW w:w="800" w:type="dxa"/>
            <w:vAlign w:val="bottom"/>
            <w:shd w:val="clear" w:color="auto" w:fill="D0DBEF"/>
          </w:tcPr>
          <w:p>
            <w:pPr>
              <w:spacing w:after="0"/>
              <w:rPr>
                <w:sz w:val="12"/>
                <w:szCs w:val="12"/>
                <w:color w:val="auto"/>
              </w:rPr>
            </w:pPr>
          </w:p>
        </w:tc>
        <w:tc>
          <w:tcPr>
            <w:tcW w:w="660" w:type="dxa"/>
            <w:vAlign w:val="bottom"/>
            <w:shd w:val="clear" w:color="auto" w:fill="D0DBE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80" w:type="dxa"/>
            <w:vAlign w:val="bottom"/>
            <w:shd w:val="clear" w:color="auto" w:fill="D0DBEF"/>
          </w:tcPr>
          <w:p>
            <w:pPr>
              <w:ind w:left="140"/>
              <w:spacing w:after="0" w:line="122" w:lineRule="exact"/>
              <w:rPr>
                <w:sz w:val="20"/>
                <w:szCs w:val="20"/>
                <w:color w:val="auto"/>
              </w:rPr>
            </w:pPr>
            <w:r>
              <w:rPr>
                <w:rFonts w:ascii="Arial" w:cs="Arial" w:eastAsia="Arial" w:hAnsi="Arial"/>
                <w:sz w:val="13"/>
                <w:szCs w:val="13"/>
                <w:color w:val="auto"/>
              </w:rPr>
              <w:t>Terifay</w:t>
            </w:r>
          </w:p>
        </w:tc>
        <w:tc>
          <w:tcPr>
            <w:tcW w:w="1020" w:type="dxa"/>
            <w:vAlign w:val="bottom"/>
            <w:shd w:val="clear" w:color="auto" w:fill="D0DBEF"/>
          </w:tcPr>
          <w:p>
            <w:pPr>
              <w:jc w:val="right"/>
              <w:ind w:right="93"/>
              <w:spacing w:after="0" w:line="122" w:lineRule="exact"/>
              <w:rPr>
                <w:sz w:val="20"/>
                <w:szCs w:val="20"/>
                <w:color w:val="auto"/>
              </w:rPr>
            </w:pPr>
            <w:r>
              <w:rPr>
                <w:rFonts w:ascii="Arial" w:cs="Arial" w:eastAsia="Arial" w:hAnsi="Arial"/>
                <w:sz w:val="13"/>
                <w:szCs w:val="13"/>
                <w:color w:val="auto"/>
              </w:rPr>
              <w:t>—</w:t>
            </w:r>
          </w:p>
        </w:tc>
        <w:tc>
          <w:tcPr>
            <w:tcW w:w="1020" w:type="dxa"/>
            <w:vAlign w:val="bottom"/>
            <w:vMerge w:val="continue"/>
            <w:shd w:val="clear" w:color="auto" w:fill="D0DBEF"/>
          </w:tcPr>
          <w:p>
            <w:pPr>
              <w:spacing w:after="0"/>
              <w:rPr>
                <w:sz w:val="10"/>
                <w:szCs w:val="10"/>
                <w:color w:val="auto"/>
              </w:rPr>
            </w:pPr>
          </w:p>
        </w:tc>
        <w:tc>
          <w:tcPr>
            <w:tcW w:w="900" w:type="dxa"/>
            <w:vAlign w:val="bottom"/>
            <w:shd w:val="clear" w:color="auto" w:fill="D0DBEF"/>
          </w:tcPr>
          <w:p>
            <w:pPr>
              <w:jc w:val="right"/>
              <w:ind w:right="33"/>
              <w:spacing w:after="0" w:line="122" w:lineRule="exact"/>
              <w:rPr>
                <w:sz w:val="20"/>
                <w:szCs w:val="20"/>
                <w:color w:val="auto"/>
              </w:rPr>
            </w:pPr>
            <w:r>
              <w:rPr>
                <w:rFonts w:ascii="Arial" w:cs="Arial" w:eastAsia="Arial" w:hAnsi="Arial"/>
                <w:sz w:val="13"/>
                <w:szCs w:val="13"/>
                <w:color w:val="auto"/>
              </w:rPr>
              <w:t>—</w:t>
            </w:r>
          </w:p>
        </w:tc>
        <w:tc>
          <w:tcPr>
            <w:tcW w:w="720" w:type="dxa"/>
            <w:vAlign w:val="bottom"/>
            <w:shd w:val="clear" w:color="auto" w:fill="D0DBEF"/>
          </w:tcPr>
          <w:p>
            <w:pPr>
              <w:jc w:val="right"/>
              <w:ind w:right="53"/>
              <w:spacing w:after="0" w:line="122" w:lineRule="exact"/>
              <w:rPr>
                <w:sz w:val="20"/>
                <w:szCs w:val="20"/>
                <w:color w:val="auto"/>
              </w:rPr>
            </w:pPr>
            <w:r>
              <w:rPr>
                <w:rFonts w:ascii="Arial" w:cs="Arial" w:eastAsia="Arial" w:hAnsi="Arial"/>
                <w:sz w:val="13"/>
                <w:szCs w:val="13"/>
                <w:color w:val="auto"/>
              </w:rPr>
              <w:t>555.67</w:t>
            </w:r>
          </w:p>
        </w:tc>
        <w:tc>
          <w:tcPr>
            <w:tcW w:w="920" w:type="dxa"/>
            <w:vAlign w:val="bottom"/>
            <w:shd w:val="clear" w:color="auto" w:fill="D0DBEF"/>
          </w:tcPr>
          <w:p>
            <w:pPr>
              <w:jc w:val="right"/>
              <w:ind w:right="73"/>
              <w:spacing w:after="0" w:line="122" w:lineRule="exact"/>
              <w:rPr>
                <w:sz w:val="20"/>
                <w:szCs w:val="20"/>
                <w:color w:val="auto"/>
              </w:rPr>
            </w:pPr>
            <w:r>
              <w:rPr>
                <w:rFonts w:ascii="Arial" w:cs="Arial" w:eastAsia="Arial" w:hAnsi="Arial"/>
                <w:sz w:val="13"/>
                <w:szCs w:val="13"/>
                <w:color w:val="auto"/>
              </w:rPr>
              <w:t>12/16/2025</w:t>
            </w:r>
          </w:p>
        </w:tc>
        <w:tc>
          <w:tcPr>
            <w:tcW w:w="700" w:type="dxa"/>
            <w:vAlign w:val="bottom"/>
            <w:shd w:val="clear" w:color="auto" w:fill="D0DBEF"/>
          </w:tcPr>
          <w:p>
            <w:pPr>
              <w:jc w:val="right"/>
              <w:ind w:right="93"/>
              <w:spacing w:after="0" w:line="122" w:lineRule="exact"/>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line="122" w:lineRule="exact"/>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53"/>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D0DBEF"/>
          </w:tcPr>
          <w:p>
            <w:pPr>
              <w:spacing w:after="0"/>
              <w:rPr>
                <w:sz w:val="13"/>
                <w:szCs w:val="13"/>
                <w:color w:val="auto"/>
              </w:rPr>
            </w:pPr>
          </w:p>
        </w:tc>
        <w:tc>
          <w:tcPr>
            <w:tcW w:w="102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10,000</w:t>
            </w:r>
          </w:p>
        </w:tc>
        <w:tc>
          <w:tcPr>
            <w:tcW w:w="1020" w:type="dxa"/>
            <w:vAlign w:val="bottom"/>
            <w:shd w:val="clear" w:color="auto" w:fill="D0DBEF"/>
          </w:tcPr>
          <w:p>
            <w:pPr>
              <w:jc w:val="right"/>
              <w:ind w:right="14"/>
              <w:spacing w:after="0" w:line="152" w:lineRule="exact"/>
              <w:rPr>
                <w:sz w:val="20"/>
                <w:szCs w:val="20"/>
                <w:color w:val="auto"/>
              </w:rPr>
            </w:pPr>
            <w:r>
              <w:rPr>
                <w:rFonts w:ascii="Arial" w:cs="Arial" w:eastAsia="Arial" w:hAnsi="Arial"/>
                <w:sz w:val="12"/>
                <w:szCs w:val="12"/>
                <w:color w:val="auto"/>
              </w:rPr>
              <w:t>30,000</w:t>
            </w:r>
            <w:r>
              <w:rPr>
                <w:rFonts w:ascii="Arial" w:cs="Arial" w:eastAsia="Arial" w:hAnsi="Arial"/>
                <w:sz w:val="17"/>
                <w:szCs w:val="17"/>
                <w:color w:val="5668B0"/>
                <w:vertAlign w:val="superscript"/>
              </w:rPr>
              <w:t>2</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399.66</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12/16/2024</w:t>
            </w:r>
          </w:p>
        </w:tc>
        <w:tc>
          <w:tcPr>
            <w:tcW w:w="7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D0DBEF"/>
          </w:tcPr>
          <w:p>
            <w:pPr>
              <w:spacing w:after="0"/>
              <w:rPr>
                <w:sz w:val="13"/>
                <w:szCs w:val="13"/>
                <w:color w:val="auto"/>
              </w:rPr>
            </w:pPr>
          </w:p>
        </w:tc>
        <w:tc>
          <w:tcPr>
            <w:tcW w:w="102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25,000</w:t>
            </w:r>
          </w:p>
        </w:tc>
        <w:tc>
          <w:tcPr>
            <w:tcW w:w="1020" w:type="dxa"/>
            <w:vAlign w:val="bottom"/>
            <w:shd w:val="clear" w:color="auto" w:fill="D0DBEF"/>
          </w:tcPr>
          <w:p>
            <w:pPr>
              <w:jc w:val="right"/>
              <w:ind w:right="14"/>
              <w:spacing w:after="0" w:line="152" w:lineRule="exact"/>
              <w:rPr>
                <w:sz w:val="20"/>
                <w:szCs w:val="20"/>
                <w:color w:val="auto"/>
              </w:rPr>
            </w:pPr>
            <w:r>
              <w:rPr>
                <w:rFonts w:ascii="Arial" w:cs="Arial" w:eastAsia="Arial" w:hAnsi="Arial"/>
                <w:sz w:val="12"/>
                <w:szCs w:val="12"/>
                <w:color w:val="auto"/>
              </w:rPr>
              <w:t>25,000</w:t>
            </w:r>
            <w:r>
              <w:rPr>
                <w:rFonts w:ascii="Arial" w:cs="Arial" w:eastAsia="Arial" w:hAnsi="Arial"/>
                <w:sz w:val="17"/>
                <w:szCs w:val="17"/>
                <w:color w:val="5668B0"/>
                <w:vertAlign w:val="superscript"/>
              </w:rPr>
              <w:t>3</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270.43</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12/13/2023</w:t>
            </w:r>
          </w:p>
        </w:tc>
        <w:tc>
          <w:tcPr>
            <w:tcW w:w="7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780" w:type="dxa"/>
            <w:vAlign w:val="bottom"/>
            <w:shd w:val="clear" w:color="auto" w:fill="D0DBEF"/>
          </w:tcPr>
          <w:p>
            <w:pPr>
              <w:spacing w:after="0"/>
              <w:rPr>
                <w:sz w:val="15"/>
                <w:szCs w:val="15"/>
                <w:color w:val="auto"/>
              </w:rPr>
            </w:pPr>
          </w:p>
        </w:tc>
        <w:tc>
          <w:tcPr>
            <w:tcW w:w="102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56,250</w:t>
            </w:r>
          </w:p>
        </w:tc>
        <w:tc>
          <w:tcPr>
            <w:tcW w:w="1020" w:type="dxa"/>
            <w:vAlign w:val="bottom"/>
            <w:shd w:val="clear" w:color="auto" w:fill="D0DBEF"/>
          </w:tcPr>
          <w:p>
            <w:pPr>
              <w:jc w:val="right"/>
              <w:ind w:right="14"/>
              <w:spacing w:after="0" w:line="177" w:lineRule="exact"/>
              <w:rPr>
                <w:sz w:val="20"/>
                <w:szCs w:val="20"/>
                <w:color w:val="auto"/>
              </w:rPr>
            </w:pPr>
            <w:r>
              <w:rPr>
                <w:rFonts w:ascii="Arial" w:cs="Arial" w:eastAsia="Arial" w:hAnsi="Arial"/>
                <w:sz w:val="13"/>
                <w:szCs w:val="13"/>
                <w:color w:val="auto"/>
              </w:rPr>
              <w:t>18,750</w:t>
            </w:r>
            <w:r>
              <w:rPr>
                <w:rFonts w:ascii="Arial" w:cs="Arial" w:eastAsia="Arial" w:hAnsi="Arial"/>
                <w:sz w:val="20"/>
                <w:szCs w:val="20"/>
                <w:color w:val="5668B0"/>
                <w:vertAlign w:val="superscript"/>
              </w:rPr>
              <w:t>4</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179.13</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12/14/2022</w:t>
            </w:r>
          </w:p>
        </w:tc>
        <w:tc>
          <w:tcPr>
            <w:tcW w:w="7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D0DBEF"/>
          </w:tcPr>
          <w:p>
            <w:pPr>
              <w:spacing w:after="0"/>
              <w:rPr>
                <w:sz w:val="13"/>
                <w:szCs w:val="13"/>
                <w:color w:val="auto"/>
              </w:rPr>
            </w:pPr>
          </w:p>
        </w:tc>
        <w:tc>
          <w:tcPr>
            <w:tcW w:w="102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1,921</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D0DBEF"/>
          </w:tcPr>
          <w:p>
            <w:pPr>
              <w:spacing w:after="0"/>
              <w:rPr>
                <w:sz w:val="13"/>
                <w:szCs w:val="13"/>
                <w:color w:val="auto"/>
              </w:rPr>
            </w:pPr>
          </w:p>
        </w:tc>
        <w:tc>
          <w:tcPr>
            <w:tcW w:w="102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30,579</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80" w:type="dxa"/>
            <w:vAlign w:val="bottom"/>
            <w:shd w:val="clear" w:color="auto" w:fill="D0DBEF"/>
          </w:tcPr>
          <w:p>
            <w:pPr>
              <w:spacing w:after="0"/>
              <w:rPr>
                <w:sz w:val="13"/>
                <w:szCs w:val="13"/>
                <w:color w:val="auto"/>
              </w:rPr>
            </w:pPr>
          </w:p>
        </w:tc>
        <w:tc>
          <w:tcPr>
            <w:tcW w:w="102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48,750</w:t>
            </w:r>
          </w:p>
        </w:tc>
        <w:tc>
          <w:tcPr>
            <w:tcW w:w="102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2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12/16/2021</w:t>
            </w:r>
          </w:p>
        </w:tc>
        <w:tc>
          <w:tcPr>
            <w:tcW w:w="7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80" w:type="dxa"/>
            <w:vAlign w:val="bottom"/>
            <w:tcBorders>
              <w:bottom w:val="single" w:sz="8" w:color="5668B0"/>
            </w:tcBorders>
            <w:shd w:val="clear" w:color="auto" w:fill="D0DBEF"/>
          </w:tcPr>
          <w:p>
            <w:pPr>
              <w:ind w:left="20"/>
              <w:spacing w:after="0"/>
              <w:rPr>
                <w:sz w:val="20"/>
                <w:szCs w:val="20"/>
                <w:color w:val="auto"/>
              </w:rPr>
            </w:pPr>
            <w:r>
              <w:rPr>
                <w:rFonts w:ascii="Arial" w:cs="Arial" w:eastAsia="Arial" w:hAnsi="Arial"/>
                <w:sz w:val="13"/>
                <w:szCs w:val="13"/>
                <w:b w:val="1"/>
                <w:bCs w:val="1"/>
                <w:color w:val="auto"/>
              </w:rPr>
              <w:t>TOTAL</w:t>
            </w:r>
          </w:p>
        </w:tc>
        <w:tc>
          <w:tcPr>
            <w:tcW w:w="1020" w:type="dxa"/>
            <w:vAlign w:val="bottom"/>
            <w:tcBorders>
              <w:bottom w:val="single" w:sz="8" w:color="5668B0"/>
            </w:tcBorders>
            <w:shd w:val="clear" w:color="auto" w:fill="D0DBEF"/>
          </w:tcPr>
          <w:p>
            <w:pPr>
              <w:jc w:val="right"/>
              <w:ind w:right="93"/>
              <w:spacing w:after="0"/>
              <w:rPr>
                <w:sz w:val="20"/>
                <w:szCs w:val="20"/>
                <w:color w:val="auto"/>
              </w:rPr>
            </w:pPr>
            <w:r>
              <w:rPr>
                <w:rFonts w:ascii="Arial" w:cs="Arial" w:eastAsia="Arial" w:hAnsi="Arial"/>
                <w:sz w:val="13"/>
                <w:szCs w:val="13"/>
                <w:b w:val="1"/>
                <w:bCs w:val="1"/>
                <w:color w:val="auto"/>
              </w:rPr>
              <w:t>172,500</w:t>
            </w:r>
          </w:p>
        </w:tc>
        <w:tc>
          <w:tcPr>
            <w:tcW w:w="1020" w:type="dxa"/>
            <w:vAlign w:val="bottom"/>
            <w:tcBorders>
              <w:bottom w:val="single" w:sz="8" w:color="5668B0"/>
            </w:tcBorders>
            <w:shd w:val="clear" w:color="auto" w:fill="D0DBEF"/>
          </w:tcPr>
          <w:p>
            <w:pPr>
              <w:jc w:val="right"/>
              <w:ind w:right="74"/>
              <w:spacing w:after="0"/>
              <w:rPr>
                <w:sz w:val="20"/>
                <w:szCs w:val="20"/>
                <w:color w:val="auto"/>
              </w:rPr>
            </w:pPr>
            <w:r>
              <w:rPr>
                <w:rFonts w:ascii="Arial" w:cs="Arial" w:eastAsia="Arial" w:hAnsi="Arial"/>
                <w:sz w:val="13"/>
                <w:szCs w:val="13"/>
                <w:b w:val="1"/>
                <w:bCs w:val="1"/>
                <w:color w:val="auto"/>
              </w:rPr>
              <w:t>113,750</w:t>
            </w:r>
          </w:p>
        </w:tc>
        <w:tc>
          <w:tcPr>
            <w:tcW w:w="900" w:type="dxa"/>
            <w:vAlign w:val="bottom"/>
            <w:tcBorders>
              <w:bottom w:val="single" w:sz="8" w:color="5668B0"/>
            </w:tcBorders>
            <w:shd w:val="clear" w:color="auto" w:fill="D0DBEF"/>
          </w:tcPr>
          <w:p>
            <w:pPr>
              <w:spacing w:after="0"/>
              <w:rPr>
                <w:sz w:val="16"/>
                <w:szCs w:val="16"/>
                <w:color w:val="auto"/>
              </w:rPr>
            </w:pPr>
          </w:p>
        </w:tc>
        <w:tc>
          <w:tcPr>
            <w:tcW w:w="720" w:type="dxa"/>
            <w:vAlign w:val="bottom"/>
            <w:tcBorders>
              <w:bottom w:val="single" w:sz="8" w:color="5668B0"/>
            </w:tcBorders>
            <w:shd w:val="clear" w:color="auto" w:fill="D0DBEF"/>
          </w:tcPr>
          <w:p>
            <w:pPr>
              <w:spacing w:after="0"/>
              <w:rPr>
                <w:sz w:val="16"/>
                <w:szCs w:val="16"/>
                <w:color w:val="auto"/>
              </w:rPr>
            </w:pPr>
          </w:p>
        </w:tc>
        <w:tc>
          <w:tcPr>
            <w:tcW w:w="920" w:type="dxa"/>
            <w:vAlign w:val="bottom"/>
            <w:tcBorders>
              <w:bottom w:val="single" w:sz="8" w:color="5668B0"/>
            </w:tcBorders>
            <w:shd w:val="clear" w:color="auto" w:fill="D0DBEF"/>
          </w:tcPr>
          <w:p>
            <w:pPr>
              <w:spacing w:after="0"/>
              <w:rPr>
                <w:sz w:val="16"/>
                <w:szCs w:val="16"/>
                <w:color w:val="auto"/>
              </w:rPr>
            </w:pPr>
          </w:p>
        </w:tc>
        <w:tc>
          <w:tcPr>
            <w:tcW w:w="700" w:type="dxa"/>
            <w:vAlign w:val="bottom"/>
            <w:tcBorders>
              <w:bottom w:val="single" w:sz="8" w:color="5668B0"/>
            </w:tcBorders>
            <w:shd w:val="clear" w:color="auto" w:fill="D0DBEF"/>
          </w:tcPr>
          <w:p>
            <w:pPr>
              <w:spacing w:after="0"/>
              <w:rPr>
                <w:sz w:val="16"/>
                <w:szCs w:val="16"/>
                <w:color w:val="auto"/>
              </w:rPr>
            </w:pPr>
          </w:p>
        </w:tc>
        <w:tc>
          <w:tcPr>
            <w:tcW w:w="900" w:type="dxa"/>
            <w:vAlign w:val="bottom"/>
            <w:tcBorders>
              <w:bottom w:val="single" w:sz="8" w:color="5668B0"/>
            </w:tcBorders>
            <w:shd w:val="clear" w:color="auto" w:fill="D0DBEF"/>
          </w:tcPr>
          <w:p>
            <w:pPr>
              <w:spacing w:after="0"/>
              <w:rPr>
                <w:sz w:val="16"/>
                <w:szCs w:val="16"/>
                <w:color w:val="auto"/>
              </w:rPr>
            </w:pPr>
          </w:p>
        </w:tc>
        <w:tc>
          <w:tcPr>
            <w:tcW w:w="800" w:type="dxa"/>
            <w:vAlign w:val="bottom"/>
            <w:tcBorders>
              <w:bottom w:val="single" w:sz="8" w:color="5668B0"/>
            </w:tcBorders>
            <w:shd w:val="clear" w:color="auto" w:fill="D0DBEF"/>
          </w:tcPr>
          <w:p>
            <w:pPr>
              <w:spacing w:after="0"/>
              <w:rPr>
                <w:sz w:val="16"/>
                <w:szCs w:val="16"/>
                <w:color w:val="auto"/>
              </w:rPr>
            </w:pPr>
          </w:p>
        </w:tc>
        <w:tc>
          <w:tcPr>
            <w:tcW w:w="660" w:type="dxa"/>
            <w:vAlign w:val="bottom"/>
            <w:tcBorders>
              <w:bottom w:val="single" w:sz="8" w:color="5668B0"/>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80" w:type="dxa"/>
            <w:vAlign w:val="bottom"/>
          </w:tcPr>
          <w:p>
            <w:pPr>
              <w:jc w:val="right"/>
              <w:ind w:right="169"/>
              <w:spacing w:after="0"/>
              <w:rPr>
                <w:sz w:val="20"/>
                <w:szCs w:val="20"/>
                <w:color w:val="auto"/>
              </w:rPr>
            </w:pPr>
            <w:r>
              <w:rPr>
                <w:rFonts w:ascii="Arial" w:cs="Arial" w:eastAsia="Arial" w:hAnsi="Arial"/>
                <w:sz w:val="10"/>
                <w:szCs w:val="10"/>
                <w:b w:val="1"/>
                <w:bCs w:val="1"/>
                <w:color w:val="5668B0"/>
                <w:w w:val="71"/>
              </w:rPr>
              <w:t>1</w:t>
            </w:r>
          </w:p>
        </w:tc>
        <w:tc>
          <w:tcPr>
            <w:tcW w:w="5440" w:type="dxa"/>
            <w:vAlign w:val="bottom"/>
            <w:vMerge w:val="restart"/>
          </w:tcPr>
          <w:p>
            <w:pPr>
              <w:ind w:left="220"/>
              <w:spacing w:after="0"/>
              <w:rPr>
                <w:sz w:val="20"/>
                <w:szCs w:val="20"/>
                <w:color w:val="auto"/>
              </w:rPr>
            </w:pPr>
            <w:r>
              <w:rPr>
                <w:rFonts w:ascii="Arial" w:cs="Arial" w:eastAsia="Arial" w:hAnsi="Arial"/>
                <w:sz w:val="13"/>
                <w:szCs w:val="13"/>
                <w:color w:val="auto"/>
              </w:rPr>
              <w:t>This stock option award was granted to the Named Officer on December 16,</w:t>
            </w:r>
          </w:p>
        </w:tc>
        <w:tc>
          <w:tcPr>
            <w:tcW w:w="620" w:type="dxa"/>
            <w:vAlign w:val="bottom"/>
          </w:tcPr>
          <w:p>
            <w:pPr>
              <w:jc w:val="right"/>
              <w:ind w:right="169"/>
              <w:spacing w:after="0"/>
              <w:rPr>
                <w:sz w:val="20"/>
                <w:szCs w:val="20"/>
                <w:color w:val="auto"/>
              </w:rPr>
            </w:pPr>
            <w:r>
              <w:rPr>
                <w:rFonts w:ascii="Arial" w:cs="Arial" w:eastAsia="Arial" w:hAnsi="Arial"/>
                <w:sz w:val="10"/>
                <w:szCs w:val="10"/>
                <w:b w:val="1"/>
                <w:bCs w:val="1"/>
                <w:color w:val="5668B0"/>
              </w:rPr>
              <w:t>5</w:t>
            </w:r>
          </w:p>
        </w:tc>
        <w:tc>
          <w:tcPr>
            <w:tcW w:w="5080" w:type="dxa"/>
            <w:vAlign w:val="bottom"/>
            <w:vMerge w:val="restart"/>
          </w:tcPr>
          <w:p>
            <w:pPr>
              <w:ind w:left="220"/>
              <w:spacing w:after="0"/>
              <w:rPr>
                <w:sz w:val="20"/>
                <w:szCs w:val="20"/>
                <w:color w:val="auto"/>
              </w:rPr>
            </w:pPr>
            <w:r>
              <w:rPr>
                <w:rFonts w:ascii="Arial" w:cs="Arial" w:eastAsia="Arial" w:hAnsi="Arial"/>
                <w:sz w:val="13"/>
                <w:szCs w:val="13"/>
                <w:color w:val="auto"/>
              </w:rPr>
              <w:t>Reflects the closing price per share of the Company's common stock on the</w:t>
            </w: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5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5440" w:type="dxa"/>
            <w:vAlign w:val="bottom"/>
          </w:tcPr>
          <w:p>
            <w:pPr>
              <w:ind w:left="220"/>
              <w:spacing w:after="0"/>
              <w:rPr>
                <w:sz w:val="20"/>
                <w:szCs w:val="20"/>
                <w:color w:val="auto"/>
              </w:rPr>
            </w:pPr>
            <w:r>
              <w:rPr>
                <w:rFonts w:ascii="Arial" w:cs="Arial" w:eastAsia="Arial" w:hAnsi="Arial"/>
                <w:sz w:val="13"/>
                <w:szCs w:val="13"/>
                <w:color w:val="auto"/>
              </w:rPr>
              <w:t>2015 and vests at a rate of 25% per year over the first four years of the option</w:t>
            </w:r>
          </w:p>
        </w:tc>
        <w:tc>
          <w:tcPr>
            <w:tcW w:w="620" w:type="dxa"/>
            <w:vAlign w:val="bottom"/>
          </w:tcPr>
          <w:p>
            <w:pPr>
              <w:spacing w:after="0"/>
              <w:rPr>
                <w:sz w:val="13"/>
                <w:szCs w:val="13"/>
                <w:color w:val="auto"/>
              </w:rPr>
            </w:pPr>
          </w:p>
        </w:tc>
        <w:tc>
          <w:tcPr>
            <w:tcW w:w="5080" w:type="dxa"/>
            <w:vAlign w:val="bottom"/>
          </w:tcPr>
          <w:p>
            <w:pPr>
              <w:ind w:left="220"/>
              <w:spacing w:after="0"/>
              <w:rPr>
                <w:sz w:val="20"/>
                <w:szCs w:val="20"/>
                <w:color w:val="auto"/>
              </w:rPr>
            </w:pPr>
            <w:r>
              <w:rPr>
                <w:rFonts w:ascii="Arial" w:cs="Arial" w:eastAsia="Arial" w:hAnsi="Arial"/>
                <w:sz w:val="13"/>
                <w:szCs w:val="13"/>
                <w:color w:val="auto"/>
              </w:rPr>
              <w:t>NASDAQ Global Select Market on December 31, 2015.</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440" w:type="dxa"/>
            <w:vAlign w:val="bottom"/>
          </w:tcPr>
          <w:p>
            <w:pPr>
              <w:ind w:left="220"/>
              <w:spacing w:after="0"/>
              <w:rPr>
                <w:sz w:val="20"/>
                <w:szCs w:val="20"/>
                <w:color w:val="auto"/>
              </w:rPr>
            </w:pPr>
            <w:r>
              <w:rPr>
                <w:rFonts w:ascii="Arial" w:cs="Arial" w:eastAsia="Arial" w:hAnsi="Arial"/>
                <w:sz w:val="13"/>
                <w:szCs w:val="13"/>
                <w:color w:val="auto"/>
              </w:rPr>
              <w:t>term.</w:t>
            </w:r>
          </w:p>
        </w:tc>
        <w:tc>
          <w:tcPr>
            <w:tcW w:w="6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420"/>
          </w:cols>
          <w:pgMar w:left="240" w:top="142" w:right="239" w:bottom="1440" w:gutter="0" w:footer="0" w:header="0"/>
        </w:sectPr>
      </w:pPr>
    </w:p>
    <w:p>
      <w:pPr>
        <w:spacing w:after="0" w:line="152" w:lineRule="exact"/>
        <w:rPr>
          <w:sz w:val="20"/>
          <w:szCs w:val="20"/>
          <w:color w:val="auto"/>
        </w:rPr>
      </w:pPr>
    </w:p>
    <w:p>
      <w:pPr>
        <w:jc w:val="both"/>
        <w:ind w:left="500" w:hanging="499"/>
        <w:spacing w:after="0"/>
        <w:tabs>
          <w:tab w:leader="none" w:pos="500" w:val="left"/>
        </w:tabs>
        <w:numPr>
          <w:ilvl w:val="0"/>
          <w:numId w:val="108"/>
        </w:numPr>
        <w:rPr>
          <w:rFonts w:ascii="Arial" w:cs="Arial" w:eastAsia="Arial" w:hAnsi="Arial"/>
          <w:sz w:val="20"/>
          <w:szCs w:val="20"/>
          <w:b w:val="1"/>
          <w:bCs w:val="1"/>
          <w:color w:val="5668B0"/>
          <w:vertAlign w:val="superscript"/>
        </w:rPr>
      </w:pPr>
      <w:r>
        <w:rPr>
          <w:rFonts w:ascii="Arial" w:cs="Arial" w:eastAsia="Arial" w:hAnsi="Arial"/>
          <w:sz w:val="13"/>
          <w:szCs w:val="13"/>
          <w:color w:val="auto"/>
        </w:rPr>
        <w:t>This stock option award was granted to the Named Officer on December 16, 2014 and vests at a rate of 25% per year over the first four years of the option term.</w:t>
      </w:r>
    </w:p>
    <w:p>
      <w:pPr>
        <w:spacing w:after="0" w:line="20" w:lineRule="exact"/>
        <w:rPr>
          <w:sz w:val="20"/>
          <w:szCs w:val="20"/>
          <w:color w:val="auto"/>
        </w:rPr>
      </w:pPr>
      <w:r>
        <w:rPr>
          <w:sz w:val="20"/>
          <w:szCs w:val="20"/>
          <w:color w:val="auto"/>
        </w:rPr>
        <w:br w:type="column"/>
      </w:r>
    </w:p>
    <w:p>
      <w:pPr>
        <w:jc w:val="both"/>
        <w:ind w:left="503" w:hanging="503"/>
        <w:spacing w:after="0" w:line="211" w:lineRule="auto"/>
        <w:tabs>
          <w:tab w:leader="none" w:pos="503" w:val="left"/>
        </w:tabs>
        <w:numPr>
          <w:ilvl w:val="0"/>
          <w:numId w:val="10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This restricted stock award was granted to the Named Officer on June 27, 2012 and vests 100% on December 17, 2017, subject to the Named Officer's continued employment.</w:t>
      </w:r>
    </w:p>
    <w:p>
      <w:pPr>
        <w:spacing w:after="0" w:line="152"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tbl>
      <w:tblPr>
        <w:tblLayout w:type="fixed"/>
        <w:tblInd w:w="0" w:type="dxa"/>
        <w:tblCellMar>
          <w:top w:w="0" w:type="dxa"/>
          <w:left w:w="0" w:type="dxa"/>
          <w:bottom w:w="0" w:type="dxa"/>
          <w:right w:w="0" w:type="dxa"/>
        </w:tblCellMar>
      </w:tblPr>
      <w:tr>
        <w:trPr>
          <w:trHeight w:val="134"/>
        </w:trPr>
        <w:tc>
          <w:tcPr>
            <w:tcW w:w="28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620" w:type="dxa"/>
            <w:vAlign w:val="bottom"/>
          </w:tcPr>
          <w:p>
            <w:pPr>
              <w:jc w:val="right"/>
              <w:ind w:right="169"/>
              <w:spacing w:after="0"/>
              <w:rPr>
                <w:sz w:val="20"/>
                <w:szCs w:val="20"/>
                <w:color w:val="auto"/>
              </w:rPr>
            </w:pPr>
            <w:r>
              <w:rPr>
                <w:rFonts w:ascii="Arial" w:cs="Arial" w:eastAsia="Arial" w:hAnsi="Arial"/>
                <w:sz w:val="10"/>
                <w:szCs w:val="10"/>
                <w:b w:val="1"/>
                <w:bCs w:val="1"/>
                <w:color w:val="5668B0"/>
              </w:rPr>
              <w:t>7</w:t>
            </w:r>
          </w:p>
        </w:tc>
        <w:tc>
          <w:tcPr>
            <w:tcW w:w="5080" w:type="dxa"/>
            <w:vAlign w:val="bottom"/>
            <w:vMerge w:val="restart"/>
          </w:tcPr>
          <w:p>
            <w:pPr>
              <w:ind w:left="220"/>
              <w:spacing w:after="0"/>
              <w:rPr>
                <w:sz w:val="20"/>
                <w:szCs w:val="20"/>
                <w:color w:val="auto"/>
              </w:rPr>
            </w:pPr>
            <w:r>
              <w:rPr>
                <w:rFonts w:ascii="Arial" w:cs="Arial" w:eastAsia="Arial" w:hAnsi="Arial"/>
                <w:sz w:val="13"/>
                <w:szCs w:val="13"/>
                <w:color w:val="auto"/>
              </w:rPr>
              <w:t>This stock option award was granted to the Named Officer on September 9, 2013</w:t>
            </w:r>
          </w:p>
        </w:tc>
        <w:tc>
          <w:tcPr>
            <w:tcW w:w="0" w:type="dxa"/>
            <w:vAlign w:val="bottom"/>
          </w:tcPr>
          <w:p>
            <w:pPr>
              <w:spacing w:after="0"/>
              <w:rPr>
                <w:sz w:val="1"/>
                <w:szCs w:val="1"/>
                <w:color w:val="auto"/>
              </w:rPr>
            </w:pPr>
          </w:p>
        </w:tc>
      </w:tr>
      <w:tr>
        <w:trPr>
          <w:trHeight w:val="59"/>
        </w:trPr>
        <w:tc>
          <w:tcPr>
            <w:tcW w:w="2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5668B0"/>
                <w:w w:val="71"/>
              </w:rPr>
              <w:t>3</w:t>
            </w:r>
          </w:p>
        </w:tc>
        <w:tc>
          <w:tcPr>
            <w:tcW w:w="5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80" w:type="dxa"/>
            <w:vAlign w:val="bottom"/>
            <w:vMerge w:val="continue"/>
          </w:tcPr>
          <w:p>
            <w:pPr>
              <w:spacing w:after="0"/>
              <w:rPr>
                <w:sz w:val="7"/>
                <w:szCs w:val="7"/>
                <w:color w:val="auto"/>
              </w:rPr>
            </w:pPr>
          </w:p>
        </w:tc>
        <w:tc>
          <w:tcPr>
            <w:tcW w:w="5440" w:type="dxa"/>
            <w:vAlign w:val="bottom"/>
            <w:vMerge w:val="restart"/>
          </w:tcPr>
          <w:p>
            <w:pPr>
              <w:ind w:left="220"/>
              <w:spacing w:after="0"/>
              <w:rPr>
                <w:sz w:val="20"/>
                <w:szCs w:val="20"/>
                <w:color w:val="auto"/>
              </w:rPr>
            </w:pPr>
            <w:r>
              <w:rPr>
                <w:rFonts w:ascii="Arial" w:cs="Arial" w:eastAsia="Arial" w:hAnsi="Arial"/>
                <w:sz w:val="13"/>
                <w:szCs w:val="13"/>
                <w:color w:val="auto"/>
              </w:rPr>
              <w:t>This stock option award was granted to the Named Officer on December 13,</w:t>
            </w:r>
          </w:p>
        </w:tc>
        <w:tc>
          <w:tcPr>
            <w:tcW w:w="620" w:type="dxa"/>
            <w:vAlign w:val="bottom"/>
          </w:tcPr>
          <w:p>
            <w:pPr>
              <w:spacing w:after="0"/>
              <w:rPr>
                <w:sz w:val="7"/>
                <w:szCs w:val="7"/>
                <w:color w:val="auto"/>
              </w:rPr>
            </w:pPr>
          </w:p>
        </w:tc>
        <w:tc>
          <w:tcPr>
            <w:tcW w:w="5080" w:type="dxa"/>
            <w:vAlign w:val="bottom"/>
            <w:vMerge w:val="restart"/>
          </w:tcPr>
          <w:p>
            <w:pPr>
              <w:ind w:left="220"/>
              <w:spacing w:after="0"/>
              <w:rPr>
                <w:sz w:val="20"/>
                <w:szCs w:val="20"/>
                <w:color w:val="auto"/>
              </w:rPr>
            </w:pPr>
            <w:r>
              <w:rPr>
                <w:rFonts w:ascii="Arial" w:cs="Arial" w:eastAsia="Arial" w:hAnsi="Arial"/>
                <w:sz w:val="13"/>
                <w:szCs w:val="13"/>
                <w:color w:val="auto"/>
              </w:rPr>
              <w:t>and vests at a rate of 25% per year over the first four years of the option term.</w:t>
            </w: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5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5440" w:type="dxa"/>
            <w:vAlign w:val="bottom"/>
          </w:tcPr>
          <w:p>
            <w:pPr>
              <w:ind w:left="220"/>
              <w:spacing w:after="0"/>
              <w:rPr>
                <w:sz w:val="20"/>
                <w:szCs w:val="20"/>
                <w:color w:val="auto"/>
              </w:rPr>
            </w:pPr>
            <w:r>
              <w:rPr>
                <w:rFonts w:ascii="Arial" w:cs="Arial" w:eastAsia="Arial" w:hAnsi="Arial"/>
                <w:sz w:val="13"/>
                <w:szCs w:val="13"/>
                <w:color w:val="auto"/>
              </w:rPr>
              <w:t>2013 and vests at a rate of 25% per year over the first four years of the option</w:t>
            </w:r>
          </w:p>
        </w:tc>
        <w:tc>
          <w:tcPr>
            <w:tcW w:w="6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440" w:type="dxa"/>
            <w:vAlign w:val="bottom"/>
          </w:tcPr>
          <w:p>
            <w:pPr>
              <w:ind w:left="220"/>
              <w:spacing w:after="0"/>
              <w:rPr>
                <w:sz w:val="20"/>
                <w:szCs w:val="20"/>
                <w:color w:val="auto"/>
              </w:rPr>
            </w:pPr>
            <w:r>
              <w:rPr>
                <w:rFonts w:ascii="Arial" w:cs="Arial" w:eastAsia="Arial" w:hAnsi="Arial"/>
                <w:sz w:val="13"/>
                <w:szCs w:val="13"/>
                <w:color w:val="auto"/>
              </w:rPr>
              <w:t>term.</w:t>
            </w:r>
          </w:p>
        </w:tc>
        <w:tc>
          <w:tcPr>
            <w:tcW w:w="620" w:type="dxa"/>
            <w:vAlign w:val="bottom"/>
          </w:tcPr>
          <w:p>
            <w:pPr>
              <w:jc w:val="right"/>
              <w:ind w:right="169"/>
              <w:spacing w:after="0"/>
              <w:rPr>
                <w:sz w:val="20"/>
                <w:szCs w:val="20"/>
                <w:color w:val="auto"/>
              </w:rPr>
            </w:pPr>
            <w:r>
              <w:rPr>
                <w:rFonts w:ascii="Arial" w:cs="Arial" w:eastAsia="Arial" w:hAnsi="Arial"/>
                <w:sz w:val="10"/>
                <w:szCs w:val="10"/>
                <w:b w:val="1"/>
                <w:bCs w:val="1"/>
                <w:color w:val="5668B0"/>
              </w:rPr>
              <w:t>8</w:t>
            </w:r>
          </w:p>
        </w:tc>
        <w:tc>
          <w:tcPr>
            <w:tcW w:w="5080" w:type="dxa"/>
            <w:vAlign w:val="bottom"/>
            <w:vMerge w:val="restart"/>
          </w:tcPr>
          <w:p>
            <w:pPr>
              <w:ind w:left="220"/>
              <w:spacing w:after="0"/>
              <w:rPr>
                <w:sz w:val="20"/>
                <w:szCs w:val="20"/>
                <w:color w:val="auto"/>
              </w:rPr>
            </w:pPr>
            <w:r>
              <w:rPr>
                <w:rFonts w:ascii="Arial" w:cs="Arial" w:eastAsia="Arial" w:hAnsi="Arial"/>
                <w:sz w:val="13"/>
                <w:szCs w:val="13"/>
                <w:color w:val="auto"/>
              </w:rPr>
              <w:t>This restricted stock award was granted to the Named Officer on September 9,</w:t>
            </w:r>
          </w:p>
        </w:tc>
        <w:tc>
          <w:tcPr>
            <w:tcW w:w="0" w:type="dxa"/>
            <w:vAlign w:val="bottom"/>
          </w:tcPr>
          <w:p>
            <w:pPr>
              <w:spacing w:after="0"/>
              <w:rPr>
                <w:sz w:val="1"/>
                <w:szCs w:val="1"/>
                <w:color w:val="auto"/>
              </w:rPr>
            </w:pPr>
          </w:p>
        </w:tc>
      </w:tr>
      <w:tr>
        <w:trPr>
          <w:trHeight w:val="40"/>
        </w:trPr>
        <w:tc>
          <w:tcPr>
            <w:tcW w:w="280" w:type="dxa"/>
            <w:vAlign w:val="bottom"/>
          </w:tcPr>
          <w:p>
            <w:pPr>
              <w:spacing w:after="0"/>
              <w:rPr>
                <w:sz w:val="3"/>
                <w:szCs w:val="3"/>
                <w:color w:val="auto"/>
              </w:rPr>
            </w:pPr>
          </w:p>
        </w:tc>
        <w:tc>
          <w:tcPr>
            <w:tcW w:w="5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5668B0"/>
                <w:w w:val="71"/>
              </w:rPr>
              <w:t>4</w:t>
            </w:r>
          </w:p>
        </w:tc>
        <w:tc>
          <w:tcPr>
            <w:tcW w:w="5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80" w:type="dxa"/>
            <w:vAlign w:val="bottom"/>
          </w:tcPr>
          <w:p>
            <w:pPr>
              <w:ind w:left="220"/>
              <w:spacing w:after="0"/>
              <w:rPr>
                <w:sz w:val="20"/>
                <w:szCs w:val="20"/>
                <w:color w:val="auto"/>
              </w:rPr>
            </w:pPr>
            <w:r>
              <w:rPr>
                <w:rFonts w:ascii="Arial" w:cs="Arial" w:eastAsia="Arial" w:hAnsi="Arial"/>
                <w:sz w:val="13"/>
                <w:szCs w:val="13"/>
                <w:color w:val="auto"/>
              </w:rPr>
              <w:t>2013 and vests 100% on the fifth anniversary of the date of grant, subject to the</w:t>
            </w:r>
          </w:p>
        </w:tc>
        <w:tc>
          <w:tcPr>
            <w:tcW w:w="0" w:type="dxa"/>
            <w:vAlign w:val="bottom"/>
          </w:tcPr>
          <w:p>
            <w:pPr>
              <w:spacing w:after="0"/>
              <w:rPr>
                <w:sz w:val="1"/>
                <w:szCs w:val="1"/>
                <w:color w:val="auto"/>
              </w:rPr>
            </w:pPr>
          </w:p>
        </w:tc>
      </w:tr>
      <w:tr>
        <w:trPr>
          <w:trHeight w:val="89"/>
        </w:trPr>
        <w:tc>
          <w:tcPr>
            <w:tcW w:w="280" w:type="dxa"/>
            <w:vAlign w:val="bottom"/>
            <w:vMerge w:val="continue"/>
          </w:tcPr>
          <w:p>
            <w:pPr>
              <w:spacing w:after="0"/>
              <w:rPr>
                <w:sz w:val="7"/>
                <w:szCs w:val="7"/>
                <w:color w:val="auto"/>
              </w:rPr>
            </w:pPr>
          </w:p>
        </w:tc>
        <w:tc>
          <w:tcPr>
            <w:tcW w:w="5440" w:type="dxa"/>
            <w:vAlign w:val="bottom"/>
            <w:vMerge w:val="restart"/>
          </w:tcPr>
          <w:p>
            <w:pPr>
              <w:ind w:left="220"/>
              <w:spacing w:after="0"/>
              <w:rPr>
                <w:sz w:val="20"/>
                <w:szCs w:val="20"/>
                <w:color w:val="auto"/>
              </w:rPr>
            </w:pPr>
            <w:r>
              <w:rPr>
                <w:rFonts w:ascii="Arial" w:cs="Arial" w:eastAsia="Arial" w:hAnsi="Arial"/>
                <w:sz w:val="13"/>
                <w:szCs w:val="13"/>
                <w:color w:val="auto"/>
              </w:rPr>
              <w:t>This stock option award was granted to the Named Officer on December 14,</w:t>
            </w:r>
          </w:p>
        </w:tc>
        <w:tc>
          <w:tcPr>
            <w:tcW w:w="620" w:type="dxa"/>
            <w:vAlign w:val="bottom"/>
          </w:tcPr>
          <w:p>
            <w:pPr>
              <w:spacing w:after="0"/>
              <w:rPr>
                <w:sz w:val="7"/>
                <w:szCs w:val="7"/>
                <w:color w:val="auto"/>
              </w:rPr>
            </w:pPr>
          </w:p>
        </w:tc>
        <w:tc>
          <w:tcPr>
            <w:tcW w:w="5080" w:type="dxa"/>
            <w:vAlign w:val="bottom"/>
            <w:vMerge w:val="restart"/>
          </w:tcPr>
          <w:p>
            <w:pPr>
              <w:ind w:left="220"/>
              <w:spacing w:after="0"/>
              <w:rPr>
                <w:sz w:val="20"/>
                <w:szCs w:val="20"/>
                <w:color w:val="auto"/>
              </w:rPr>
            </w:pPr>
            <w:r>
              <w:rPr>
                <w:rFonts w:ascii="Arial" w:cs="Arial" w:eastAsia="Arial" w:hAnsi="Arial"/>
                <w:sz w:val="13"/>
                <w:szCs w:val="13"/>
                <w:color w:val="auto"/>
              </w:rPr>
              <w:t>Named Officer's continued employment.</w:t>
            </w: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5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5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80" w:type="dxa"/>
            <w:vAlign w:val="bottom"/>
          </w:tcPr>
          <w:p>
            <w:pPr>
              <w:spacing w:after="0"/>
              <w:rPr>
                <w:sz w:val="13"/>
                <w:szCs w:val="13"/>
                <w:color w:val="auto"/>
              </w:rPr>
            </w:pPr>
          </w:p>
        </w:tc>
        <w:tc>
          <w:tcPr>
            <w:tcW w:w="5440" w:type="dxa"/>
            <w:vAlign w:val="bottom"/>
          </w:tcPr>
          <w:p>
            <w:pPr>
              <w:ind w:left="220"/>
              <w:spacing w:after="0"/>
              <w:rPr>
                <w:sz w:val="20"/>
                <w:szCs w:val="20"/>
                <w:color w:val="auto"/>
              </w:rPr>
            </w:pPr>
            <w:r>
              <w:rPr>
                <w:rFonts w:ascii="Arial" w:cs="Arial" w:eastAsia="Arial" w:hAnsi="Arial"/>
                <w:sz w:val="13"/>
                <w:szCs w:val="13"/>
                <w:color w:val="auto"/>
              </w:rPr>
              <w:t>2012 and vests at a rate of 25% per year over the first four years of the option</w:t>
            </w:r>
          </w:p>
        </w:tc>
        <w:tc>
          <w:tcPr>
            <w:tcW w:w="6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440" w:type="dxa"/>
            <w:vAlign w:val="bottom"/>
          </w:tcPr>
          <w:p>
            <w:pPr>
              <w:ind w:left="220"/>
              <w:spacing w:after="0"/>
              <w:rPr>
                <w:sz w:val="20"/>
                <w:szCs w:val="20"/>
                <w:color w:val="auto"/>
              </w:rPr>
            </w:pPr>
            <w:r>
              <w:rPr>
                <w:rFonts w:ascii="Arial" w:cs="Arial" w:eastAsia="Arial" w:hAnsi="Arial"/>
                <w:sz w:val="13"/>
                <w:szCs w:val="13"/>
                <w:color w:val="auto"/>
              </w:rPr>
              <w:t>term.</w:t>
            </w:r>
          </w:p>
        </w:tc>
        <w:tc>
          <w:tcPr>
            <w:tcW w:w="6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65</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0" w:name="page81"/>
    <w:bookmarkEnd w:id="80"/>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4561FF"/>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72555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with regard to amounts realized by our Named Officers during 2015 as a result of the exercise of stock options or the vesting of restricted stock awards.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304"/>
        </w:trPr>
        <w:tc>
          <w:tcPr>
            <w:tcW w:w="4800" w:type="dxa"/>
            <w:vAlign w:val="bottom"/>
            <w:shd w:val="clear" w:color="auto" w:fill="5668B0"/>
          </w:tcPr>
          <w:p>
            <w:pPr>
              <w:spacing w:after="0"/>
              <w:rPr>
                <w:sz w:val="24"/>
                <w:szCs w:val="24"/>
                <w:color w:val="auto"/>
              </w:rPr>
            </w:pPr>
          </w:p>
        </w:tc>
        <w:tc>
          <w:tcPr>
            <w:tcW w:w="2100" w:type="dxa"/>
            <w:vAlign w:val="bottom"/>
            <w:gridSpan w:val="2"/>
            <w:shd w:val="clear" w:color="auto" w:fill="5668B0"/>
          </w:tcPr>
          <w:p>
            <w:pPr>
              <w:jc w:val="right"/>
              <w:ind w:right="566"/>
              <w:spacing w:after="0"/>
              <w:rPr>
                <w:sz w:val="20"/>
                <w:szCs w:val="20"/>
                <w:color w:val="auto"/>
              </w:rPr>
            </w:pPr>
            <w:r>
              <w:rPr>
                <w:rFonts w:ascii="Arial" w:cs="Arial" w:eastAsia="Arial" w:hAnsi="Arial"/>
                <w:sz w:val="13"/>
                <w:szCs w:val="13"/>
                <w:color w:val="FFFFFE"/>
              </w:rPr>
              <w:t>Option awards</w:t>
            </w:r>
          </w:p>
        </w:tc>
        <w:tc>
          <w:tcPr>
            <w:tcW w:w="1520" w:type="dxa"/>
            <w:vAlign w:val="bottom"/>
            <w:gridSpan w:val="2"/>
            <w:shd w:val="clear" w:color="auto" w:fill="5668B0"/>
          </w:tcPr>
          <w:p>
            <w:pPr>
              <w:jc w:val="right"/>
              <w:ind w:right="226"/>
              <w:spacing w:after="0"/>
              <w:rPr>
                <w:sz w:val="20"/>
                <w:szCs w:val="20"/>
                <w:color w:val="auto"/>
              </w:rPr>
            </w:pPr>
            <w:r>
              <w:rPr>
                <w:rFonts w:ascii="Arial" w:cs="Arial" w:eastAsia="Arial" w:hAnsi="Arial"/>
                <w:sz w:val="13"/>
                <w:szCs w:val="13"/>
                <w:color w:val="FFFFFE"/>
              </w:rPr>
              <w:t>Stock awards</w:t>
            </w:r>
          </w:p>
        </w:tc>
      </w:tr>
      <w:tr>
        <w:trPr>
          <w:trHeight w:val="169"/>
        </w:trPr>
        <w:tc>
          <w:tcPr>
            <w:tcW w:w="4800" w:type="dxa"/>
            <w:vAlign w:val="bottom"/>
            <w:shd w:val="clear" w:color="auto" w:fill="5668B0"/>
          </w:tcPr>
          <w:p>
            <w:pPr>
              <w:spacing w:after="0"/>
              <w:rPr>
                <w:sz w:val="14"/>
                <w:szCs w:val="14"/>
                <w:color w:val="auto"/>
              </w:rPr>
            </w:pP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Number of</w:t>
            </w:r>
          </w:p>
        </w:tc>
        <w:tc>
          <w:tcPr>
            <w:tcW w:w="118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Value</w:t>
            </w: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Number of</w:t>
            </w:r>
          </w:p>
        </w:tc>
        <w:tc>
          <w:tcPr>
            <w:tcW w:w="600" w:type="dxa"/>
            <w:vAlign w:val="bottom"/>
            <w:shd w:val="clear" w:color="auto" w:fill="5668B0"/>
          </w:tcPr>
          <w:p>
            <w:pPr>
              <w:spacing w:after="0"/>
              <w:rPr>
                <w:sz w:val="14"/>
                <w:szCs w:val="14"/>
                <w:color w:val="auto"/>
              </w:rPr>
            </w:pPr>
          </w:p>
        </w:tc>
      </w:tr>
      <w:tr>
        <w:trPr>
          <w:trHeight w:val="152"/>
        </w:trPr>
        <w:tc>
          <w:tcPr>
            <w:tcW w:w="4800" w:type="dxa"/>
            <w:vAlign w:val="bottom"/>
            <w:shd w:val="clear" w:color="auto" w:fill="5668B0"/>
          </w:tcPr>
          <w:p>
            <w:pPr>
              <w:spacing w:after="0"/>
              <w:rPr>
                <w:sz w:val="13"/>
                <w:szCs w:val="13"/>
                <w:color w:val="auto"/>
              </w:rPr>
            </w:pP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shares</w:t>
            </w:r>
          </w:p>
        </w:tc>
        <w:tc>
          <w:tcPr>
            <w:tcW w:w="118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realized</w:t>
            </w: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shares</w:t>
            </w:r>
          </w:p>
        </w:tc>
        <w:tc>
          <w:tcPr>
            <w:tcW w:w="60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Value</w:t>
            </w:r>
          </w:p>
        </w:tc>
      </w:tr>
      <w:tr>
        <w:trPr>
          <w:trHeight w:val="152"/>
        </w:trPr>
        <w:tc>
          <w:tcPr>
            <w:tcW w:w="4800" w:type="dxa"/>
            <w:vAlign w:val="bottom"/>
            <w:shd w:val="clear" w:color="auto" w:fill="5668B0"/>
          </w:tcPr>
          <w:p>
            <w:pPr>
              <w:spacing w:after="0"/>
              <w:rPr>
                <w:sz w:val="13"/>
                <w:szCs w:val="13"/>
                <w:color w:val="auto"/>
              </w:rPr>
            </w:pP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acquired</w:t>
            </w:r>
          </w:p>
        </w:tc>
        <w:tc>
          <w:tcPr>
            <w:tcW w:w="118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on</w:t>
            </w: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acquired</w:t>
            </w:r>
          </w:p>
        </w:tc>
        <w:tc>
          <w:tcPr>
            <w:tcW w:w="60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realized</w:t>
            </w:r>
          </w:p>
        </w:tc>
      </w:tr>
      <w:tr>
        <w:trPr>
          <w:trHeight w:val="147"/>
        </w:trPr>
        <w:tc>
          <w:tcPr>
            <w:tcW w:w="4800" w:type="dxa"/>
            <w:vAlign w:val="bottom"/>
            <w:shd w:val="clear" w:color="auto" w:fill="5668B0"/>
          </w:tcPr>
          <w:p>
            <w:pPr>
              <w:spacing w:after="0"/>
              <w:rPr>
                <w:sz w:val="12"/>
                <w:szCs w:val="12"/>
                <w:color w:val="auto"/>
              </w:rPr>
            </w:pPr>
          </w:p>
        </w:tc>
        <w:tc>
          <w:tcPr>
            <w:tcW w:w="920" w:type="dxa"/>
            <w:vAlign w:val="bottom"/>
            <w:shd w:val="clear" w:color="auto" w:fill="5668B0"/>
          </w:tcPr>
          <w:p>
            <w:pPr>
              <w:jc w:val="right"/>
              <w:ind w:right="66"/>
              <w:spacing w:after="0" w:line="148" w:lineRule="exact"/>
              <w:rPr>
                <w:sz w:val="20"/>
                <w:szCs w:val="20"/>
                <w:color w:val="auto"/>
              </w:rPr>
            </w:pPr>
            <w:r>
              <w:rPr>
                <w:rFonts w:ascii="Arial" w:cs="Arial" w:eastAsia="Arial" w:hAnsi="Arial"/>
                <w:sz w:val="13"/>
                <w:szCs w:val="13"/>
                <w:color w:val="FFFFFE"/>
              </w:rPr>
              <w:t>on exercise</w:t>
            </w:r>
          </w:p>
        </w:tc>
        <w:tc>
          <w:tcPr>
            <w:tcW w:w="1180" w:type="dxa"/>
            <w:vAlign w:val="bottom"/>
            <w:shd w:val="clear" w:color="auto" w:fill="5668B0"/>
          </w:tcPr>
          <w:p>
            <w:pPr>
              <w:jc w:val="right"/>
              <w:ind w:right="66"/>
              <w:spacing w:after="0" w:line="148" w:lineRule="exact"/>
              <w:rPr>
                <w:sz w:val="20"/>
                <w:szCs w:val="20"/>
                <w:color w:val="auto"/>
              </w:rPr>
            </w:pPr>
            <w:r>
              <w:rPr>
                <w:rFonts w:ascii="Arial" w:cs="Arial" w:eastAsia="Arial" w:hAnsi="Arial"/>
                <w:sz w:val="13"/>
                <w:szCs w:val="13"/>
                <w:color w:val="FFFFFE"/>
              </w:rPr>
              <w:t>exercise</w:t>
            </w:r>
          </w:p>
        </w:tc>
        <w:tc>
          <w:tcPr>
            <w:tcW w:w="920" w:type="dxa"/>
            <w:vAlign w:val="bottom"/>
            <w:shd w:val="clear" w:color="auto" w:fill="5668B0"/>
          </w:tcPr>
          <w:p>
            <w:pPr>
              <w:jc w:val="right"/>
              <w:ind w:right="66"/>
              <w:spacing w:after="0" w:line="148" w:lineRule="exact"/>
              <w:rPr>
                <w:sz w:val="20"/>
                <w:szCs w:val="20"/>
                <w:color w:val="auto"/>
              </w:rPr>
            </w:pPr>
            <w:r>
              <w:rPr>
                <w:rFonts w:ascii="Arial" w:cs="Arial" w:eastAsia="Arial" w:hAnsi="Arial"/>
                <w:sz w:val="13"/>
                <w:szCs w:val="13"/>
                <w:color w:val="FFFFFE"/>
              </w:rPr>
              <w:t>on vesting</w:t>
            </w:r>
          </w:p>
        </w:tc>
        <w:tc>
          <w:tcPr>
            <w:tcW w:w="60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on</w:t>
            </w:r>
          </w:p>
        </w:tc>
      </w:tr>
      <w:tr>
        <w:trPr>
          <w:trHeight w:val="182"/>
        </w:trPr>
        <w:tc>
          <w:tcPr>
            <w:tcW w:w="4800" w:type="dxa"/>
            <w:vAlign w:val="bottom"/>
            <w:shd w:val="clear" w:color="auto" w:fill="5668B0"/>
          </w:tcPr>
          <w:p>
            <w:pPr>
              <w:ind w:left="20"/>
              <w:spacing w:after="0"/>
              <w:rPr>
                <w:sz w:val="20"/>
                <w:szCs w:val="20"/>
                <w:color w:val="auto"/>
              </w:rPr>
            </w:pPr>
            <w:r>
              <w:rPr>
                <w:rFonts w:ascii="Arial" w:cs="Arial" w:eastAsia="Arial" w:hAnsi="Arial"/>
                <w:sz w:val="13"/>
                <w:szCs w:val="13"/>
                <w:color w:val="FFFFFE"/>
              </w:rPr>
              <w:t>Name</w:t>
            </w: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w:t>
            </w:r>
          </w:p>
        </w:tc>
        <w:tc>
          <w:tcPr>
            <w:tcW w:w="1180" w:type="dxa"/>
            <w:vAlign w:val="bottom"/>
            <w:shd w:val="clear" w:color="auto" w:fill="5668B0"/>
          </w:tcPr>
          <w:p>
            <w:pPr>
              <w:jc w:val="right"/>
              <w:ind w:right="66"/>
              <w:spacing w:after="0" w:line="182" w:lineRule="exact"/>
              <w:rPr>
                <w:sz w:val="20"/>
                <w:szCs w:val="20"/>
                <w:color w:val="auto"/>
              </w:rPr>
            </w:pPr>
            <w:r>
              <w:rPr>
                <w:rFonts w:ascii="Arial" w:cs="Arial" w:eastAsia="Arial" w:hAnsi="Arial"/>
                <w:sz w:val="13"/>
                <w:szCs w:val="13"/>
                <w:color w:val="FFFFFE"/>
              </w:rPr>
              <w:t>($)</w:t>
            </w:r>
            <w:r>
              <w:rPr>
                <w:rFonts w:ascii="Arial" w:cs="Arial" w:eastAsia="Arial" w:hAnsi="Arial"/>
                <w:sz w:val="20"/>
                <w:szCs w:val="20"/>
                <w:color w:val="FFFFFE"/>
                <w:vertAlign w:val="superscript"/>
              </w:rPr>
              <w:t>1</w:t>
            </w: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w:t>
            </w:r>
          </w:p>
        </w:tc>
        <w:tc>
          <w:tcPr>
            <w:tcW w:w="60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vesting</w:t>
            </w:r>
          </w:p>
        </w:tc>
      </w:tr>
      <w:tr>
        <w:trPr>
          <w:trHeight w:val="152"/>
        </w:trPr>
        <w:tc>
          <w:tcPr>
            <w:tcW w:w="4800" w:type="dxa"/>
            <w:vAlign w:val="bottom"/>
            <w:shd w:val="clear" w:color="auto" w:fill="5668B0"/>
          </w:tcPr>
          <w:p>
            <w:pPr>
              <w:ind w:left="20"/>
              <w:spacing w:after="0"/>
              <w:rPr>
                <w:sz w:val="20"/>
                <w:szCs w:val="20"/>
                <w:color w:val="auto"/>
              </w:rPr>
            </w:pPr>
            <w:r>
              <w:rPr>
                <w:rFonts w:ascii="Arial" w:cs="Arial" w:eastAsia="Arial" w:hAnsi="Arial"/>
                <w:sz w:val="13"/>
                <w:szCs w:val="13"/>
                <w:color w:val="FFFFFE"/>
              </w:rPr>
              <w:t>(a)</w:t>
            </w: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(b)</w:t>
            </w:r>
          </w:p>
        </w:tc>
        <w:tc>
          <w:tcPr>
            <w:tcW w:w="118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(c)</w:t>
            </w:r>
          </w:p>
        </w:tc>
        <w:tc>
          <w:tcPr>
            <w:tcW w:w="920" w:type="dxa"/>
            <w:vAlign w:val="bottom"/>
            <w:shd w:val="clear" w:color="auto" w:fill="5668B0"/>
          </w:tcPr>
          <w:p>
            <w:pPr>
              <w:jc w:val="right"/>
              <w:ind w:right="66"/>
              <w:spacing w:after="0"/>
              <w:rPr>
                <w:sz w:val="20"/>
                <w:szCs w:val="20"/>
                <w:color w:val="auto"/>
              </w:rPr>
            </w:pPr>
            <w:r>
              <w:rPr>
                <w:rFonts w:ascii="Arial" w:cs="Arial" w:eastAsia="Arial" w:hAnsi="Arial"/>
                <w:sz w:val="13"/>
                <w:szCs w:val="13"/>
                <w:color w:val="FFFFFE"/>
              </w:rPr>
              <w:t>(d)</w:t>
            </w:r>
          </w:p>
        </w:tc>
        <w:tc>
          <w:tcPr>
            <w:tcW w:w="60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w:t>
            </w:r>
          </w:p>
        </w:tc>
      </w:tr>
      <w:tr>
        <w:trPr>
          <w:trHeight w:val="147"/>
        </w:trPr>
        <w:tc>
          <w:tcPr>
            <w:tcW w:w="4800" w:type="dxa"/>
            <w:vAlign w:val="bottom"/>
            <w:shd w:val="clear" w:color="auto" w:fill="5668B0"/>
          </w:tcPr>
          <w:p>
            <w:pPr>
              <w:spacing w:after="0"/>
              <w:rPr>
                <w:sz w:val="12"/>
                <w:szCs w:val="12"/>
                <w:color w:val="auto"/>
              </w:rPr>
            </w:pPr>
          </w:p>
        </w:tc>
        <w:tc>
          <w:tcPr>
            <w:tcW w:w="920" w:type="dxa"/>
            <w:vAlign w:val="bottom"/>
            <w:shd w:val="clear" w:color="auto" w:fill="5668B0"/>
          </w:tcPr>
          <w:p>
            <w:pPr>
              <w:spacing w:after="0"/>
              <w:rPr>
                <w:sz w:val="12"/>
                <w:szCs w:val="12"/>
                <w:color w:val="auto"/>
              </w:rPr>
            </w:pPr>
          </w:p>
        </w:tc>
        <w:tc>
          <w:tcPr>
            <w:tcW w:w="1180" w:type="dxa"/>
            <w:vAlign w:val="bottom"/>
            <w:shd w:val="clear" w:color="auto" w:fill="5668B0"/>
          </w:tcPr>
          <w:p>
            <w:pPr>
              <w:spacing w:after="0"/>
              <w:rPr>
                <w:sz w:val="12"/>
                <w:szCs w:val="12"/>
                <w:color w:val="auto"/>
              </w:rPr>
            </w:pPr>
          </w:p>
        </w:tc>
        <w:tc>
          <w:tcPr>
            <w:tcW w:w="920" w:type="dxa"/>
            <w:vAlign w:val="bottom"/>
            <w:shd w:val="clear" w:color="auto" w:fill="5668B0"/>
          </w:tcPr>
          <w:p>
            <w:pPr>
              <w:spacing w:after="0"/>
              <w:rPr>
                <w:sz w:val="12"/>
                <w:szCs w:val="12"/>
                <w:color w:val="auto"/>
              </w:rPr>
            </w:pPr>
          </w:p>
        </w:tc>
        <w:tc>
          <w:tcPr>
            <w:tcW w:w="60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(e)</w:t>
            </w:r>
          </w:p>
        </w:tc>
      </w:tr>
      <w:tr>
        <w:trPr>
          <w:trHeight w:val="190"/>
        </w:trPr>
        <w:tc>
          <w:tcPr>
            <w:tcW w:w="4800" w:type="dxa"/>
            <w:vAlign w:val="bottom"/>
            <w:shd w:val="clear" w:color="auto" w:fill="E6ECF8"/>
          </w:tcPr>
          <w:p>
            <w:pPr>
              <w:ind w:left="20"/>
              <w:spacing w:after="0"/>
              <w:rPr>
                <w:sz w:val="20"/>
                <w:szCs w:val="20"/>
                <w:color w:val="auto"/>
              </w:rPr>
            </w:pPr>
            <w:r>
              <w:rPr>
                <w:rFonts w:ascii="Arial" w:cs="Arial" w:eastAsia="Arial" w:hAnsi="Arial"/>
                <w:sz w:val="16"/>
                <w:szCs w:val="16"/>
                <w:color w:val="auto"/>
              </w:rPr>
              <w:t>Leonard S. Schleifer, M.D., Ph.D.</w:t>
            </w:r>
          </w:p>
        </w:tc>
        <w:tc>
          <w:tcPr>
            <w:tcW w:w="920" w:type="dxa"/>
            <w:vAlign w:val="bottom"/>
            <w:shd w:val="clear" w:color="auto" w:fill="E6ECF8"/>
          </w:tcPr>
          <w:p>
            <w:pPr>
              <w:jc w:val="right"/>
              <w:ind w:right="66"/>
              <w:spacing w:after="0"/>
              <w:rPr>
                <w:sz w:val="20"/>
                <w:szCs w:val="20"/>
                <w:color w:val="auto"/>
              </w:rPr>
            </w:pPr>
            <w:r>
              <w:rPr>
                <w:rFonts w:ascii="Arial" w:cs="Arial" w:eastAsia="Arial" w:hAnsi="Arial"/>
                <w:sz w:val="16"/>
                <w:szCs w:val="16"/>
                <w:color w:val="auto"/>
              </w:rPr>
              <w:t>7,226</w:t>
            </w:r>
          </w:p>
        </w:tc>
        <w:tc>
          <w:tcPr>
            <w:tcW w:w="1180" w:type="dxa"/>
            <w:vAlign w:val="bottom"/>
            <w:shd w:val="clear" w:color="auto" w:fill="E6ECF8"/>
          </w:tcPr>
          <w:p>
            <w:pPr>
              <w:jc w:val="right"/>
              <w:ind w:right="66"/>
              <w:spacing w:after="0"/>
              <w:rPr>
                <w:sz w:val="20"/>
                <w:szCs w:val="20"/>
                <w:color w:val="auto"/>
              </w:rPr>
            </w:pPr>
            <w:r>
              <w:rPr>
                <w:rFonts w:ascii="Arial" w:cs="Arial" w:eastAsia="Arial" w:hAnsi="Arial"/>
                <w:sz w:val="16"/>
                <w:szCs w:val="16"/>
                <w:color w:val="auto"/>
              </w:rPr>
              <w:t>749,192</w:t>
            </w:r>
          </w:p>
        </w:tc>
        <w:tc>
          <w:tcPr>
            <w:tcW w:w="920" w:type="dxa"/>
            <w:vAlign w:val="bottom"/>
            <w:shd w:val="clear" w:color="auto" w:fill="E6ECF8"/>
          </w:tcPr>
          <w:p>
            <w:pPr>
              <w:jc w:val="right"/>
              <w:ind w:right="66"/>
              <w:spacing w:after="0"/>
              <w:rPr>
                <w:sz w:val="20"/>
                <w:szCs w:val="20"/>
                <w:color w:val="auto"/>
              </w:rPr>
            </w:pPr>
            <w:r>
              <w:rPr>
                <w:rFonts w:ascii="Arial" w:cs="Arial" w:eastAsia="Arial" w:hAnsi="Arial"/>
                <w:sz w:val="16"/>
                <w:szCs w:val="16"/>
                <w:color w:val="auto"/>
              </w:rPr>
              <w:t>—</w:t>
            </w: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800" w:type="dxa"/>
            <w:vAlign w:val="bottom"/>
            <w:shd w:val="clear" w:color="auto" w:fill="D0DBEF"/>
          </w:tcPr>
          <w:p>
            <w:pPr>
              <w:ind w:left="20"/>
              <w:spacing w:after="0"/>
              <w:rPr>
                <w:sz w:val="20"/>
                <w:szCs w:val="20"/>
                <w:color w:val="auto"/>
              </w:rPr>
            </w:pPr>
            <w:r>
              <w:rPr>
                <w:rFonts w:ascii="Arial" w:cs="Arial" w:eastAsia="Arial" w:hAnsi="Arial"/>
                <w:sz w:val="16"/>
                <w:szCs w:val="16"/>
                <w:color w:val="auto"/>
              </w:rPr>
              <w:t>George D. Yancopoulos, M.D., Ph.D.</w:t>
            </w:r>
          </w:p>
        </w:tc>
        <w:tc>
          <w:tcPr>
            <w:tcW w:w="920" w:type="dxa"/>
            <w:vAlign w:val="bottom"/>
            <w:shd w:val="clear" w:color="auto" w:fill="D0DBEF"/>
          </w:tcPr>
          <w:p>
            <w:pPr>
              <w:jc w:val="right"/>
              <w:ind w:right="66"/>
              <w:spacing w:after="0"/>
              <w:rPr>
                <w:sz w:val="20"/>
                <w:szCs w:val="20"/>
                <w:color w:val="auto"/>
              </w:rPr>
            </w:pPr>
            <w:r>
              <w:rPr>
                <w:rFonts w:ascii="Arial" w:cs="Arial" w:eastAsia="Arial" w:hAnsi="Arial"/>
                <w:sz w:val="16"/>
                <w:szCs w:val="16"/>
                <w:color w:val="auto"/>
              </w:rPr>
              <w:t>184,739</w:t>
            </w:r>
          </w:p>
        </w:tc>
        <w:tc>
          <w:tcPr>
            <w:tcW w:w="1180" w:type="dxa"/>
            <w:vAlign w:val="bottom"/>
            <w:shd w:val="clear" w:color="auto" w:fill="D0DBEF"/>
          </w:tcPr>
          <w:p>
            <w:pPr>
              <w:jc w:val="right"/>
              <w:ind w:right="66"/>
              <w:spacing w:after="0"/>
              <w:rPr>
                <w:sz w:val="20"/>
                <w:szCs w:val="20"/>
                <w:color w:val="auto"/>
              </w:rPr>
            </w:pPr>
            <w:r>
              <w:rPr>
                <w:rFonts w:ascii="Arial" w:cs="Arial" w:eastAsia="Arial" w:hAnsi="Arial"/>
                <w:sz w:val="16"/>
                <w:szCs w:val="16"/>
                <w:color w:val="auto"/>
              </w:rPr>
              <w:t>101,049,378</w:t>
            </w:r>
          </w:p>
        </w:tc>
        <w:tc>
          <w:tcPr>
            <w:tcW w:w="920" w:type="dxa"/>
            <w:vAlign w:val="bottom"/>
            <w:shd w:val="clear" w:color="auto" w:fill="D0DBEF"/>
          </w:tcPr>
          <w:p>
            <w:pPr>
              <w:jc w:val="right"/>
              <w:ind w:right="66"/>
              <w:spacing w:after="0"/>
              <w:rPr>
                <w:sz w:val="20"/>
                <w:szCs w:val="20"/>
                <w:color w:val="auto"/>
              </w:rPr>
            </w:pPr>
            <w:r>
              <w:rPr>
                <w:rFonts w:ascii="Arial" w:cs="Arial" w:eastAsia="Arial" w:hAnsi="Arial"/>
                <w:sz w:val="16"/>
                <w:szCs w:val="16"/>
                <w:color w:val="auto"/>
              </w:rPr>
              <w:t>—</w:t>
            </w:r>
          </w:p>
        </w:tc>
        <w:tc>
          <w:tcPr>
            <w:tcW w:w="6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800" w:type="dxa"/>
            <w:vAlign w:val="bottom"/>
            <w:shd w:val="clear" w:color="auto" w:fill="E6ECF8"/>
          </w:tcPr>
          <w:p>
            <w:pPr>
              <w:ind w:left="20"/>
              <w:spacing w:after="0"/>
              <w:rPr>
                <w:sz w:val="20"/>
                <w:szCs w:val="20"/>
                <w:color w:val="auto"/>
              </w:rPr>
            </w:pPr>
            <w:r>
              <w:rPr>
                <w:rFonts w:ascii="Arial" w:cs="Arial" w:eastAsia="Arial" w:hAnsi="Arial"/>
                <w:sz w:val="16"/>
                <w:szCs w:val="16"/>
                <w:color w:val="auto"/>
              </w:rPr>
              <w:t>Robert E. Landry</w:t>
            </w:r>
          </w:p>
        </w:tc>
        <w:tc>
          <w:tcPr>
            <w:tcW w:w="920" w:type="dxa"/>
            <w:vAlign w:val="bottom"/>
            <w:shd w:val="clear" w:color="auto" w:fill="E6ECF8"/>
          </w:tcPr>
          <w:p>
            <w:pPr>
              <w:jc w:val="right"/>
              <w:ind w:right="66"/>
              <w:spacing w:after="0"/>
              <w:rPr>
                <w:sz w:val="20"/>
                <w:szCs w:val="20"/>
                <w:color w:val="auto"/>
              </w:rPr>
            </w:pPr>
            <w:r>
              <w:rPr>
                <w:rFonts w:ascii="Arial" w:cs="Arial" w:eastAsia="Arial" w:hAnsi="Arial"/>
                <w:sz w:val="16"/>
                <w:szCs w:val="16"/>
                <w:color w:val="auto"/>
              </w:rPr>
              <w:t>14,000</w:t>
            </w:r>
          </w:p>
        </w:tc>
        <w:tc>
          <w:tcPr>
            <w:tcW w:w="1180" w:type="dxa"/>
            <w:vAlign w:val="bottom"/>
            <w:shd w:val="clear" w:color="auto" w:fill="E6ECF8"/>
          </w:tcPr>
          <w:p>
            <w:pPr>
              <w:jc w:val="right"/>
              <w:ind w:right="66"/>
              <w:spacing w:after="0"/>
              <w:rPr>
                <w:sz w:val="20"/>
                <w:szCs w:val="20"/>
                <w:color w:val="auto"/>
              </w:rPr>
            </w:pPr>
            <w:r>
              <w:rPr>
                <w:rFonts w:ascii="Arial" w:cs="Arial" w:eastAsia="Arial" w:hAnsi="Arial"/>
                <w:sz w:val="16"/>
                <w:szCs w:val="16"/>
                <w:color w:val="auto"/>
              </w:rPr>
              <w:t>3,048,560</w:t>
            </w:r>
          </w:p>
        </w:tc>
        <w:tc>
          <w:tcPr>
            <w:tcW w:w="920" w:type="dxa"/>
            <w:vAlign w:val="bottom"/>
            <w:shd w:val="clear" w:color="auto" w:fill="E6ECF8"/>
          </w:tcPr>
          <w:p>
            <w:pPr>
              <w:jc w:val="right"/>
              <w:ind w:right="66"/>
              <w:spacing w:after="0"/>
              <w:rPr>
                <w:sz w:val="20"/>
                <w:szCs w:val="20"/>
                <w:color w:val="auto"/>
              </w:rPr>
            </w:pPr>
            <w:r>
              <w:rPr>
                <w:rFonts w:ascii="Arial" w:cs="Arial" w:eastAsia="Arial" w:hAnsi="Arial"/>
                <w:sz w:val="16"/>
                <w:szCs w:val="16"/>
                <w:color w:val="auto"/>
              </w:rPr>
              <w:t>—</w:t>
            </w: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800" w:type="dxa"/>
            <w:vAlign w:val="bottom"/>
            <w:shd w:val="clear" w:color="auto" w:fill="D0DBEF"/>
          </w:tcPr>
          <w:p>
            <w:pPr>
              <w:ind w:left="20"/>
              <w:spacing w:after="0"/>
              <w:rPr>
                <w:sz w:val="20"/>
                <w:szCs w:val="20"/>
                <w:color w:val="auto"/>
              </w:rPr>
            </w:pPr>
            <w:r>
              <w:rPr>
                <w:rFonts w:ascii="Arial" w:cs="Arial" w:eastAsia="Arial" w:hAnsi="Arial"/>
                <w:sz w:val="16"/>
                <w:szCs w:val="16"/>
                <w:color w:val="auto"/>
              </w:rPr>
              <w:t>Neil Stahl, Ph.D.</w:t>
            </w:r>
          </w:p>
        </w:tc>
        <w:tc>
          <w:tcPr>
            <w:tcW w:w="920" w:type="dxa"/>
            <w:vAlign w:val="bottom"/>
            <w:shd w:val="clear" w:color="auto" w:fill="D0DBEF"/>
          </w:tcPr>
          <w:p>
            <w:pPr>
              <w:jc w:val="right"/>
              <w:ind w:right="66"/>
              <w:spacing w:after="0"/>
              <w:rPr>
                <w:sz w:val="20"/>
                <w:szCs w:val="20"/>
                <w:color w:val="auto"/>
              </w:rPr>
            </w:pPr>
            <w:r>
              <w:rPr>
                <w:rFonts w:ascii="Arial" w:cs="Arial" w:eastAsia="Arial" w:hAnsi="Arial"/>
                <w:sz w:val="16"/>
                <w:szCs w:val="16"/>
                <w:color w:val="auto"/>
              </w:rPr>
              <w:t>101,921</w:t>
            </w:r>
          </w:p>
        </w:tc>
        <w:tc>
          <w:tcPr>
            <w:tcW w:w="1180" w:type="dxa"/>
            <w:vAlign w:val="bottom"/>
            <w:shd w:val="clear" w:color="auto" w:fill="D0DBEF"/>
          </w:tcPr>
          <w:p>
            <w:pPr>
              <w:jc w:val="right"/>
              <w:ind w:right="66"/>
              <w:spacing w:after="0"/>
              <w:rPr>
                <w:sz w:val="20"/>
                <w:szCs w:val="20"/>
                <w:color w:val="auto"/>
              </w:rPr>
            </w:pPr>
            <w:r>
              <w:rPr>
                <w:rFonts w:ascii="Arial" w:cs="Arial" w:eastAsia="Arial" w:hAnsi="Arial"/>
                <w:sz w:val="16"/>
                <w:szCs w:val="16"/>
                <w:color w:val="auto"/>
              </w:rPr>
              <w:t>54,901,992</w:t>
            </w:r>
          </w:p>
        </w:tc>
        <w:tc>
          <w:tcPr>
            <w:tcW w:w="920" w:type="dxa"/>
            <w:vAlign w:val="bottom"/>
            <w:shd w:val="clear" w:color="auto" w:fill="D0DBEF"/>
          </w:tcPr>
          <w:p>
            <w:pPr>
              <w:jc w:val="right"/>
              <w:ind w:right="66"/>
              <w:spacing w:after="0"/>
              <w:rPr>
                <w:sz w:val="20"/>
                <w:szCs w:val="20"/>
                <w:color w:val="auto"/>
              </w:rPr>
            </w:pPr>
            <w:r>
              <w:rPr>
                <w:rFonts w:ascii="Arial" w:cs="Arial" w:eastAsia="Arial" w:hAnsi="Arial"/>
                <w:sz w:val="16"/>
                <w:szCs w:val="16"/>
                <w:color w:val="auto"/>
              </w:rPr>
              <w:t>—</w:t>
            </w:r>
          </w:p>
        </w:tc>
        <w:tc>
          <w:tcPr>
            <w:tcW w:w="6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800" w:type="dxa"/>
            <w:vAlign w:val="bottom"/>
            <w:tcBorders>
              <w:bottom w:val="single" w:sz="8" w:color="5668B0"/>
            </w:tcBorders>
            <w:shd w:val="clear" w:color="auto" w:fill="E6ECF8"/>
          </w:tcPr>
          <w:p>
            <w:pPr>
              <w:ind w:left="20"/>
              <w:spacing w:after="0"/>
              <w:rPr>
                <w:sz w:val="20"/>
                <w:szCs w:val="20"/>
                <w:color w:val="auto"/>
              </w:rPr>
            </w:pPr>
            <w:r>
              <w:rPr>
                <w:rFonts w:ascii="Arial" w:cs="Arial" w:eastAsia="Arial" w:hAnsi="Arial"/>
                <w:sz w:val="16"/>
                <w:szCs w:val="16"/>
                <w:color w:val="auto"/>
              </w:rPr>
              <w:t>Robert J. Terifay</w:t>
            </w:r>
          </w:p>
        </w:tc>
        <w:tc>
          <w:tcPr>
            <w:tcW w:w="920" w:type="dxa"/>
            <w:vAlign w:val="bottom"/>
            <w:tcBorders>
              <w:bottom w:val="single" w:sz="8" w:color="5668B0"/>
            </w:tcBorders>
            <w:shd w:val="clear" w:color="auto" w:fill="E6ECF8"/>
          </w:tcPr>
          <w:p>
            <w:pPr>
              <w:jc w:val="right"/>
              <w:ind w:right="66"/>
              <w:spacing w:after="0"/>
              <w:rPr>
                <w:sz w:val="20"/>
                <w:szCs w:val="20"/>
                <w:color w:val="auto"/>
              </w:rPr>
            </w:pPr>
            <w:r>
              <w:rPr>
                <w:rFonts w:ascii="Arial" w:cs="Arial" w:eastAsia="Arial" w:hAnsi="Arial"/>
                <w:sz w:val="16"/>
                <w:szCs w:val="16"/>
                <w:color w:val="auto"/>
              </w:rPr>
              <w:t>81,250</w:t>
            </w:r>
          </w:p>
        </w:tc>
        <w:tc>
          <w:tcPr>
            <w:tcW w:w="1180" w:type="dxa"/>
            <w:vAlign w:val="bottom"/>
            <w:tcBorders>
              <w:bottom w:val="single" w:sz="8" w:color="5668B0"/>
            </w:tcBorders>
            <w:shd w:val="clear" w:color="auto" w:fill="E6ECF8"/>
          </w:tcPr>
          <w:p>
            <w:pPr>
              <w:jc w:val="right"/>
              <w:ind w:right="66"/>
              <w:spacing w:after="0"/>
              <w:rPr>
                <w:sz w:val="20"/>
                <w:szCs w:val="20"/>
                <w:color w:val="auto"/>
              </w:rPr>
            </w:pPr>
            <w:r>
              <w:rPr>
                <w:rFonts w:ascii="Arial" w:cs="Arial" w:eastAsia="Arial" w:hAnsi="Arial"/>
                <w:sz w:val="16"/>
                <w:szCs w:val="16"/>
                <w:color w:val="auto"/>
              </w:rPr>
              <w:t>37,906,863</w:t>
            </w:r>
          </w:p>
        </w:tc>
        <w:tc>
          <w:tcPr>
            <w:tcW w:w="920" w:type="dxa"/>
            <w:vAlign w:val="bottom"/>
            <w:tcBorders>
              <w:bottom w:val="single" w:sz="8" w:color="5668B0"/>
            </w:tcBorders>
            <w:shd w:val="clear" w:color="auto" w:fill="E6ECF8"/>
          </w:tcPr>
          <w:p>
            <w:pPr>
              <w:jc w:val="right"/>
              <w:ind w:right="66"/>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-1308735</wp:posOffset>
            </wp:positionV>
            <wp:extent cx="22980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98065" cy="8255"/>
                    </a:xfrm>
                    <a:prstGeom prst="rect">
                      <a:avLst/>
                    </a:prstGeom>
                    <a:noFill/>
                  </pic:spPr>
                </pic:pic>
              </a:graphicData>
            </a:graphic>
          </wp:anchor>
        </w:drawing>
      </w:r>
    </w:p>
    <w:p>
      <w:pPr>
        <w:spacing w:after="0" w:line="187" w:lineRule="exact"/>
        <w:rPr>
          <w:sz w:val="20"/>
          <w:szCs w:val="20"/>
          <w:color w:val="auto"/>
        </w:rPr>
      </w:pPr>
    </w:p>
    <w:p>
      <w:pPr>
        <w:ind w:left="1880" w:hanging="508"/>
        <w:spacing w:after="0" w:line="198" w:lineRule="auto"/>
        <w:tabs>
          <w:tab w:leader="none" w:pos="1880" w:val="left"/>
        </w:tabs>
        <w:numPr>
          <w:ilvl w:val="0"/>
          <w:numId w:val="110"/>
        </w:numPr>
        <w:rPr>
          <w:rFonts w:ascii="Arial" w:cs="Arial" w:eastAsia="Arial" w:hAnsi="Arial"/>
          <w:sz w:val="20"/>
          <w:szCs w:val="20"/>
          <w:b w:val="1"/>
          <w:bCs w:val="1"/>
          <w:color w:val="5668B0"/>
          <w:vertAlign w:val="superscript"/>
        </w:rPr>
      </w:pPr>
      <w:r>
        <w:rPr>
          <w:rFonts w:ascii="Arial" w:cs="Arial" w:eastAsia="Arial" w:hAnsi="Arial"/>
          <w:sz w:val="13"/>
          <w:szCs w:val="13"/>
          <w:color w:val="auto"/>
        </w:rPr>
        <w:t>Amounts reflect the difference between the exercise price of the option(s) and the average of the high and low sales price per share of the Company's common stock on the NASDAQ Global Select Market on the exercise date(s).</w:t>
      </w:r>
    </w:p>
    <w:p>
      <w:pPr>
        <w:sectPr>
          <w:pgSz w:w="11900" w:h="16838" w:orient="portrait"/>
          <w:cols w:equalWidth="0" w:num="1">
            <w:col w:w="11420"/>
          </w:cols>
          <w:pgMar w:left="240" w:top="142" w:right="239" w:bottom="1440"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Post-Employment Compensation</w:t>
      </w:r>
    </w:p>
    <w:p>
      <w:pPr>
        <w:spacing w:after="0" w:line="228" w:lineRule="exact"/>
        <w:rPr>
          <w:sz w:val="20"/>
          <w:szCs w:val="20"/>
          <w:color w:val="auto"/>
        </w:rPr>
      </w:pPr>
    </w:p>
    <w:p>
      <w:pPr>
        <w:jc w:val="center"/>
        <w:spacing w:after="0" w:line="247" w:lineRule="auto"/>
        <w:rPr>
          <w:sz w:val="20"/>
          <w:szCs w:val="20"/>
          <w:color w:val="auto"/>
        </w:rPr>
      </w:pPr>
      <w:r>
        <w:rPr>
          <w:rFonts w:ascii="Arial" w:cs="Arial" w:eastAsia="Arial" w:hAnsi="Arial"/>
          <w:sz w:val="16"/>
          <w:szCs w:val="16"/>
          <w:color w:val="auto"/>
        </w:rPr>
        <w:t>As discussed under "Section 4 – Elements of Executive Compensation – Potential Severance Benefits" on page 59, our Named Officers are entitled to certain severance benefits upon the voluntary or involuntary termination  of  their  employment.  We  provide  additional  information regarding the severance benefits available to our Named Officers in the tables on pages 67 and 69. For our Chief Executive Officer, the table shows the amounts payable under his employment agreement upon his involuntary or not-for-cause termination, termination in connection with a corporate change of control, and in the event of his disability or death. For the  other  Named  Officers,  the  table  shows  their  post-termination compensation arrangements under our change in control severance plan upon an involuntary or not-for-cause termination in connection with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corporate change of control.</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Leonard S. Schleifer, M.D., Ph.D., Employment Agreement</w:t>
      </w:r>
    </w:p>
    <w:p>
      <w:pPr>
        <w:spacing w:after="0" w:line="22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593725</wp:posOffset>
            </wp:positionV>
            <wp:extent cx="642620" cy="1930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593725</wp:posOffset>
            </wp:positionV>
            <wp:extent cx="8255" cy="1930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Internal Revenue Code.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3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Upon an involuntary termination (</w:t>
      </w:r>
      <w:r>
        <w:rPr>
          <w:rFonts w:ascii="Arial" w:cs="Arial" w:eastAsia="Arial" w:hAnsi="Arial"/>
          <w:sz w:val="16"/>
          <w:szCs w:val="16"/>
          <w:i w:val="1"/>
          <w:iCs w:val="1"/>
          <w:color w:val="auto"/>
        </w:rPr>
        <w:t>i.e.</w:t>
      </w:r>
      <w:r>
        <w:rPr>
          <w:rFonts w:ascii="Arial" w:cs="Arial" w:eastAsia="Arial" w:hAnsi="Arial"/>
          <w:sz w:val="16"/>
          <w:szCs w:val="16"/>
          <w:color w:val="auto"/>
        </w:rPr>
        <w:t>, a termination by the Company without cause or by Dr. Schleifer for good reason, each as defined in the agreement)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293" w:lineRule="exact"/>
        <w:rPr>
          <w:sz w:val="20"/>
          <w:szCs w:val="20"/>
          <w:color w:val="auto"/>
        </w:rPr>
      </w:pPr>
    </w:p>
    <w:p>
      <w:pPr>
        <w:ind w:left="1160" w:hanging="744"/>
        <w:spacing w:after="0"/>
        <w:tabs>
          <w:tab w:leader="none" w:pos="1160" w:val="left"/>
        </w:tabs>
        <w:numPr>
          <w:ilvl w:val="0"/>
          <w:numId w:val="11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percent, in which case such benefits and payments will be reduced accordingly.</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reflects the potential payments to our Chief Executive Officer under his employment agreement upon his termination, effective December 31, 2015,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Severance Payments under Dr. Schleifer's Employment Agreement</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308"/>
        </w:trPr>
        <w:tc>
          <w:tcPr>
            <w:tcW w:w="20" w:type="dxa"/>
            <w:vAlign w:val="bottom"/>
          </w:tcPr>
          <w:p>
            <w:pPr>
              <w:spacing w:after="0"/>
              <w:rPr>
                <w:sz w:val="24"/>
                <w:szCs w:val="24"/>
                <w:color w:val="auto"/>
              </w:rPr>
            </w:pPr>
          </w:p>
        </w:tc>
        <w:tc>
          <w:tcPr>
            <w:tcW w:w="3300" w:type="dxa"/>
            <w:vAlign w:val="bottom"/>
            <w:shd w:val="clear" w:color="auto" w:fill="5668B0"/>
          </w:tcPr>
          <w:p>
            <w:pPr>
              <w:spacing w:after="0"/>
              <w:rPr>
                <w:sz w:val="24"/>
                <w:szCs w:val="24"/>
                <w:color w:val="auto"/>
              </w:rPr>
            </w:pPr>
          </w:p>
        </w:tc>
        <w:tc>
          <w:tcPr>
            <w:tcW w:w="200" w:type="dxa"/>
            <w:vAlign w:val="bottom"/>
            <w:shd w:val="clear" w:color="auto" w:fill="5668B0"/>
          </w:tcPr>
          <w:p>
            <w:pPr>
              <w:spacing w:after="0"/>
              <w:rPr>
                <w:sz w:val="24"/>
                <w:szCs w:val="24"/>
                <w:color w:val="auto"/>
              </w:rPr>
            </w:pPr>
          </w:p>
        </w:tc>
        <w:tc>
          <w:tcPr>
            <w:tcW w:w="960" w:type="dxa"/>
            <w:vAlign w:val="bottom"/>
            <w:shd w:val="clear" w:color="auto" w:fill="5668B0"/>
          </w:tcPr>
          <w:p>
            <w:pPr>
              <w:spacing w:after="0"/>
              <w:rPr>
                <w:sz w:val="24"/>
                <w:szCs w:val="24"/>
                <w:color w:val="auto"/>
              </w:rPr>
            </w:pPr>
          </w:p>
        </w:tc>
        <w:tc>
          <w:tcPr>
            <w:tcW w:w="140" w:type="dxa"/>
            <w:vAlign w:val="bottom"/>
            <w:shd w:val="clear" w:color="auto" w:fill="5668B0"/>
          </w:tcPr>
          <w:p>
            <w:pPr>
              <w:spacing w:after="0"/>
              <w:rPr>
                <w:sz w:val="24"/>
                <w:szCs w:val="24"/>
                <w:color w:val="auto"/>
              </w:rPr>
            </w:pPr>
          </w:p>
        </w:tc>
        <w:tc>
          <w:tcPr>
            <w:tcW w:w="1000" w:type="dxa"/>
            <w:vAlign w:val="bottom"/>
            <w:shd w:val="clear" w:color="auto" w:fill="5668B0"/>
          </w:tcPr>
          <w:p>
            <w:pPr>
              <w:spacing w:after="0"/>
              <w:rPr>
                <w:sz w:val="24"/>
                <w:szCs w:val="24"/>
                <w:color w:val="auto"/>
              </w:rPr>
            </w:pPr>
          </w:p>
        </w:tc>
        <w:tc>
          <w:tcPr>
            <w:tcW w:w="760" w:type="dxa"/>
            <w:vAlign w:val="bottom"/>
            <w:shd w:val="clear" w:color="auto" w:fill="5668B0"/>
          </w:tcPr>
          <w:p>
            <w:pPr>
              <w:spacing w:after="0"/>
              <w:rPr>
                <w:sz w:val="24"/>
                <w:szCs w:val="24"/>
                <w:color w:val="auto"/>
              </w:rPr>
            </w:pPr>
          </w:p>
        </w:tc>
        <w:tc>
          <w:tcPr>
            <w:tcW w:w="920" w:type="dxa"/>
            <w:vAlign w:val="bottom"/>
            <w:shd w:val="clear" w:color="auto" w:fill="5668B0"/>
          </w:tcPr>
          <w:p>
            <w:pPr>
              <w:spacing w:after="0"/>
              <w:rPr>
                <w:sz w:val="24"/>
                <w:szCs w:val="24"/>
                <w:color w:val="auto"/>
              </w:rPr>
            </w:pPr>
          </w:p>
        </w:tc>
        <w:tc>
          <w:tcPr>
            <w:tcW w:w="1120" w:type="dxa"/>
            <w:vAlign w:val="bottom"/>
            <w:shd w:val="clear" w:color="auto" w:fill="5668B0"/>
          </w:tcPr>
          <w:p>
            <w:pPr>
              <w:jc w:val="right"/>
              <w:ind w:right="105"/>
              <w:spacing w:after="0"/>
              <w:rPr>
                <w:sz w:val="20"/>
                <w:szCs w:val="20"/>
                <w:color w:val="auto"/>
              </w:rPr>
            </w:pPr>
            <w:r>
              <w:rPr>
                <w:rFonts w:ascii="Arial" w:cs="Arial" w:eastAsia="Arial" w:hAnsi="Arial"/>
                <w:sz w:val="13"/>
                <w:szCs w:val="13"/>
                <w:color w:val="FFFFFE"/>
              </w:rPr>
              <w:t>Value of</w:t>
            </w:r>
          </w:p>
        </w:tc>
        <w:tc>
          <w:tcPr>
            <w:tcW w:w="700" w:type="dxa"/>
            <w:vAlign w:val="bottom"/>
            <w:vMerge w:val="restart"/>
            <w:shd w:val="clear" w:color="auto" w:fill="5668B0"/>
          </w:tcPr>
          <w:p>
            <w:pPr>
              <w:jc w:val="right"/>
              <w:ind w:right="4"/>
              <w:spacing w:after="0"/>
              <w:rPr>
                <w:sz w:val="20"/>
                <w:szCs w:val="20"/>
                <w:color w:val="auto"/>
              </w:rPr>
            </w:pPr>
            <w:r>
              <w:rPr>
                <w:rFonts w:ascii="Arial" w:cs="Arial" w:eastAsia="Arial" w:hAnsi="Arial"/>
                <w:sz w:val="13"/>
                <w:szCs w:val="13"/>
                <w:color w:val="FFFFFE"/>
              </w:rPr>
              <w:t>Cutback/</w:t>
            </w:r>
          </w:p>
        </w:tc>
        <w:tc>
          <w:tcPr>
            <w:tcW w:w="180" w:type="dxa"/>
            <w:vAlign w:val="bottom"/>
            <w:shd w:val="clear" w:color="auto" w:fill="5668B0"/>
          </w:tcPr>
          <w:p>
            <w:pPr>
              <w:spacing w:after="0"/>
              <w:rPr>
                <w:sz w:val="24"/>
                <w:szCs w:val="24"/>
                <w:color w:val="auto"/>
              </w:rPr>
            </w:pPr>
          </w:p>
        </w:tc>
        <w:tc>
          <w:tcPr>
            <w:tcW w:w="840" w:type="dxa"/>
            <w:vAlign w:val="bottom"/>
            <w:shd w:val="clear" w:color="auto" w:fill="5668B0"/>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00" w:type="dxa"/>
            <w:vAlign w:val="bottom"/>
            <w:shd w:val="clear" w:color="auto" w:fill="5668B0"/>
          </w:tcPr>
          <w:p>
            <w:pPr>
              <w:spacing w:after="0"/>
              <w:rPr>
                <w:sz w:val="11"/>
                <w:szCs w:val="11"/>
                <w:color w:val="auto"/>
              </w:rPr>
            </w:pPr>
          </w:p>
        </w:tc>
        <w:tc>
          <w:tcPr>
            <w:tcW w:w="200" w:type="dxa"/>
            <w:vAlign w:val="bottom"/>
            <w:shd w:val="clear" w:color="auto" w:fill="5668B0"/>
          </w:tcPr>
          <w:p>
            <w:pPr>
              <w:spacing w:after="0"/>
              <w:rPr>
                <w:sz w:val="11"/>
                <w:szCs w:val="11"/>
                <w:color w:val="auto"/>
              </w:rPr>
            </w:pPr>
          </w:p>
        </w:tc>
        <w:tc>
          <w:tcPr>
            <w:tcW w:w="960" w:type="dxa"/>
            <w:vAlign w:val="bottom"/>
            <w:shd w:val="clear" w:color="auto" w:fill="5668B0"/>
          </w:tcPr>
          <w:p>
            <w:pPr>
              <w:spacing w:after="0"/>
              <w:rPr>
                <w:sz w:val="11"/>
                <w:szCs w:val="11"/>
                <w:color w:val="auto"/>
              </w:rPr>
            </w:pPr>
          </w:p>
        </w:tc>
        <w:tc>
          <w:tcPr>
            <w:tcW w:w="140" w:type="dxa"/>
            <w:vAlign w:val="bottom"/>
            <w:shd w:val="clear" w:color="auto" w:fill="5668B0"/>
          </w:tcPr>
          <w:p>
            <w:pPr>
              <w:spacing w:after="0"/>
              <w:rPr>
                <w:sz w:val="11"/>
                <w:szCs w:val="11"/>
                <w:color w:val="auto"/>
              </w:rPr>
            </w:pPr>
          </w:p>
        </w:tc>
        <w:tc>
          <w:tcPr>
            <w:tcW w:w="1000" w:type="dxa"/>
            <w:vAlign w:val="bottom"/>
            <w:shd w:val="clear" w:color="auto" w:fill="5668B0"/>
          </w:tcPr>
          <w:p>
            <w:pPr>
              <w:spacing w:after="0"/>
              <w:rPr>
                <w:sz w:val="11"/>
                <w:szCs w:val="11"/>
                <w:color w:val="auto"/>
              </w:rPr>
            </w:pPr>
          </w:p>
        </w:tc>
        <w:tc>
          <w:tcPr>
            <w:tcW w:w="760" w:type="dxa"/>
            <w:vAlign w:val="bottom"/>
            <w:shd w:val="clear" w:color="auto" w:fill="5668B0"/>
          </w:tcPr>
          <w:p>
            <w:pPr>
              <w:spacing w:after="0"/>
              <w:rPr>
                <w:sz w:val="11"/>
                <w:szCs w:val="11"/>
                <w:color w:val="auto"/>
              </w:rPr>
            </w:pPr>
          </w:p>
        </w:tc>
        <w:tc>
          <w:tcPr>
            <w:tcW w:w="920" w:type="dxa"/>
            <w:vAlign w:val="bottom"/>
            <w:shd w:val="clear" w:color="auto" w:fill="5668B0"/>
          </w:tcPr>
          <w:p>
            <w:pPr>
              <w:spacing w:after="0"/>
              <w:rPr>
                <w:sz w:val="11"/>
                <w:szCs w:val="11"/>
                <w:color w:val="auto"/>
              </w:rPr>
            </w:pPr>
          </w:p>
        </w:tc>
        <w:tc>
          <w:tcPr>
            <w:tcW w:w="1120" w:type="dxa"/>
            <w:vAlign w:val="bottom"/>
            <w:shd w:val="clear" w:color="auto" w:fill="5668B0"/>
          </w:tcPr>
          <w:p>
            <w:pPr>
              <w:jc w:val="right"/>
              <w:ind w:right="105"/>
              <w:spacing w:after="0" w:line="127" w:lineRule="exact"/>
              <w:rPr>
                <w:sz w:val="20"/>
                <w:szCs w:val="20"/>
                <w:color w:val="auto"/>
              </w:rPr>
            </w:pPr>
            <w:r>
              <w:rPr>
                <w:rFonts w:ascii="Arial" w:cs="Arial" w:eastAsia="Arial" w:hAnsi="Arial"/>
                <w:sz w:val="13"/>
                <w:szCs w:val="13"/>
                <w:color w:val="FFFFFE"/>
              </w:rPr>
              <w:t>Accelerated</w:t>
            </w:r>
          </w:p>
        </w:tc>
        <w:tc>
          <w:tcPr>
            <w:tcW w:w="700" w:type="dxa"/>
            <w:vAlign w:val="bottom"/>
            <w:vMerge w:val="continue"/>
            <w:shd w:val="clear" w:color="auto" w:fill="5668B0"/>
          </w:tcPr>
          <w:p>
            <w:pPr>
              <w:spacing w:after="0"/>
              <w:rPr>
                <w:sz w:val="11"/>
                <w:szCs w:val="11"/>
                <w:color w:val="auto"/>
              </w:rPr>
            </w:pPr>
          </w:p>
        </w:tc>
        <w:tc>
          <w:tcPr>
            <w:tcW w:w="180" w:type="dxa"/>
            <w:vAlign w:val="bottom"/>
            <w:shd w:val="clear" w:color="auto" w:fill="5668B0"/>
          </w:tcPr>
          <w:p>
            <w:pPr>
              <w:spacing w:after="0"/>
              <w:rPr>
                <w:sz w:val="11"/>
                <w:szCs w:val="11"/>
                <w:color w:val="auto"/>
              </w:rPr>
            </w:pPr>
          </w:p>
        </w:tc>
        <w:tc>
          <w:tcPr>
            <w:tcW w:w="840" w:type="dxa"/>
            <w:vAlign w:val="bottom"/>
            <w:shd w:val="clear" w:color="auto" w:fill="5668B0"/>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00" w:type="dxa"/>
            <w:vAlign w:val="bottom"/>
            <w:shd w:val="clear" w:color="auto" w:fill="5668B0"/>
          </w:tcPr>
          <w:p>
            <w:pPr>
              <w:spacing w:after="0"/>
              <w:rPr>
                <w:sz w:val="12"/>
                <w:szCs w:val="12"/>
                <w:color w:val="auto"/>
              </w:rPr>
            </w:pPr>
          </w:p>
        </w:tc>
        <w:tc>
          <w:tcPr>
            <w:tcW w:w="200" w:type="dxa"/>
            <w:vAlign w:val="bottom"/>
            <w:shd w:val="clear" w:color="auto" w:fill="5668B0"/>
          </w:tcPr>
          <w:p>
            <w:pPr>
              <w:spacing w:after="0"/>
              <w:rPr>
                <w:sz w:val="12"/>
                <w:szCs w:val="12"/>
                <w:color w:val="auto"/>
              </w:rPr>
            </w:pPr>
          </w:p>
        </w:tc>
        <w:tc>
          <w:tcPr>
            <w:tcW w:w="960" w:type="dxa"/>
            <w:vAlign w:val="bottom"/>
            <w:shd w:val="clear" w:color="auto" w:fill="5668B0"/>
          </w:tcPr>
          <w:p>
            <w:pPr>
              <w:jc w:val="right"/>
              <w:ind w:right="43"/>
              <w:spacing w:after="0" w:line="148" w:lineRule="exact"/>
              <w:rPr>
                <w:sz w:val="20"/>
                <w:szCs w:val="20"/>
                <w:color w:val="auto"/>
              </w:rPr>
            </w:pPr>
            <w:r>
              <w:rPr>
                <w:rFonts w:ascii="Arial" w:cs="Arial" w:eastAsia="Arial" w:hAnsi="Arial"/>
                <w:sz w:val="13"/>
                <w:szCs w:val="13"/>
                <w:color w:val="FFFFFE"/>
              </w:rPr>
              <w:t>Cash</w:t>
            </w:r>
          </w:p>
        </w:tc>
        <w:tc>
          <w:tcPr>
            <w:tcW w:w="140" w:type="dxa"/>
            <w:vAlign w:val="bottom"/>
            <w:shd w:val="clear" w:color="auto" w:fill="5668B0"/>
          </w:tcPr>
          <w:p>
            <w:pPr>
              <w:spacing w:after="0"/>
              <w:rPr>
                <w:sz w:val="12"/>
                <w:szCs w:val="12"/>
                <w:color w:val="auto"/>
              </w:rPr>
            </w:pPr>
          </w:p>
        </w:tc>
        <w:tc>
          <w:tcPr>
            <w:tcW w:w="1000" w:type="dxa"/>
            <w:vAlign w:val="bottom"/>
            <w:shd w:val="clear" w:color="auto" w:fill="5668B0"/>
          </w:tcPr>
          <w:p>
            <w:pPr>
              <w:jc w:val="right"/>
              <w:ind w:right="123"/>
              <w:spacing w:after="0" w:line="148" w:lineRule="exact"/>
              <w:rPr>
                <w:sz w:val="20"/>
                <w:szCs w:val="20"/>
                <w:color w:val="auto"/>
              </w:rPr>
            </w:pPr>
            <w:r>
              <w:rPr>
                <w:rFonts w:ascii="Arial" w:cs="Arial" w:eastAsia="Arial" w:hAnsi="Arial"/>
                <w:sz w:val="13"/>
                <w:szCs w:val="13"/>
                <w:color w:val="FFFFFE"/>
              </w:rPr>
              <w:t>Benefits</w:t>
            </w:r>
          </w:p>
        </w:tc>
        <w:tc>
          <w:tcPr>
            <w:tcW w:w="760" w:type="dxa"/>
            <w:vAlign w:val="bottom"/>
            <w:shd w:val="clear" w:color="auto" w:fill="5668B0"/>
          </w:tcPr>
          <w:p>
            <w:pPr>
              <w:jc w:val="right"/>
              <w:ind w:right="3"/>
              <w:spacing w:after="0" w:line="148" w:lineRule="exact"/>
              <w:rPr>
                <w:sz w:val="20"/>
                <w:szCs w:val="20"/>
                <w:color w:val="auto"/>
              </w:rPr>
            </w:pPr>
            <w:r>
              <w:rPr>
                <w:rFonts w:ascii="Arial" w:cs="Arial" w:eastAsia="Arial" w:hAnsi="Arial"/>
                <w:sz w:val="13"/>
                <w:szCs w:val="13"/>
                <w:color w:val="FFFFFE"/>
              </w:rPr>
              <w:t>Death</w:t>
            </w:r>
          </w:p>
        </w:tc>
        <w:tc>
          <w:tcPr>
            <w:tcW w:w="920" w:type="dxa"/>
            <w:vAlign w:val="bottom"/>
            <w:shd w:val="clear" w:color="auto" w:fill="5668B0"/>
          </w:tcPr>
          <w:p>
            <w:pPr>
              <w:jc w:val="right"/>
              <w:ind w:right="83"/>
              <w:spacing w:after="0" w:line="148" w:lineRule="exact"/>
              <w:rPr>
                <w:sz w:val="20"/>
                <w:szCs w:val="20"/>
                <w:color w:val="auto"/>
              </w:rPr>
            </w:pPr>
            <w:r>
              <w:rPr>
                <w:rFonts w:ascii="Arial" w:cs="Arial" w:eastAsia="Arial" w:hAnsi="Arial"/>
                <w:sz w:val="13"/>
                <w:szCs w:val="13"/>
                <w:color w:val="FFFFFE"/>
              </w:rPr>
              <w:t>Disability</w:t>
            </w:r>
          </w:p>
        </w:tc>
        <w:tc>
          <w:tcPr>
            <w:tcW w:w="1120" w:type="dxa"/>
            <w:vAlign w:val="bottom"/>
            <w:shd w:val="clear" w:color="auto" w:fill="5668B0"/>
          </w:tcPr>
          <w:p>
            <w:pPr>
              <w:jc w:val="right"/>
              <w:ind w:right="105"/>
              <w:spacing w:after="0" w:line="148" w:lineRule="exact"/>
              <w:rPr>
                <w:sz w:val="20"/>
                <w:szCs w:val="20"/>
                <w:color w:val="auto"/>
              </w:rPr>
            </w:pPr>
            <w:r>
              <w:rPr>
                <w:rFonts w:ascii="Arial" w:cs="Arial" w:eastAsia="Arial" w:hAnsi="Arial"/>
                <w:sz w:val="13"/>
                <w:szCs w:val="13"/>
                <w:color w:val="FFFFFE"/>
              </w:rPr>
              <w:t>Stock</w:t>
            </w:r>
          </w:p>
        </w:tc>
        <w:tc>
          <w:tcPr>
            <w:tcW w:w="700" w:type="dxa"/>
            <w:vAlign w:val="bottom"/>
            <w:shd w:val="clear" w:color="auto" w:fill="5668B0"/>
          </w:tcPr>
          <w:p>
            <w:pPr>
              <w:jc w:val="right"/>
              <w:ind w:right="4"/>
              <w:spacing w:after="0" w:line="148" w:lineRule="exact"/>
              <w:rPr>
                <w:sz w:val="20"/>
                <w:szCs w:val="20"/>
                <w:color w:val="auto"/>
              </w:rPr>
            </w:pPr>
            <w:r>
              <w:rPr>
                <w:rFonts w:ascii="Arial" w:cs="Arial" w:eastAsia="Arial" w:hAnsi="Arial"/>
                <w:sz w:val="13"/>
                <w:szCs w:val="13"/>
                <w:color w:val="FFFFFE"/>
              </w:rPr>
              <w:t>Gross-</w:t>
            </w:r>
          </w:p>
        </w:tc>
        <w:tc>
          <w:tcPr>
            <w:tcW w:w="180" w:type="dxa"/>
            <w:vAlign w:val="bottom"/>
            <w:shd w:val="clear" w:color="auto" w:fill="5668B0"/>
          </w:tcPr>
          <w:p>
            <w:pPr>
              <w:spacing w:after="0"/>
              <w:rPr>
                <w:sz w:val="12"/>
                <w:szCs w:val="12"/>
                <w:color w:val="auto"/>
              </w:rPr>
            </w:pPr>
          </w:p>
        </w:tc>
        <w:tc>
          <w:tcPr>
            <w:tcW w:w="840" w:type="dxa"/>
            <w:vAlign w:val="bottom"/>
            <w:shd w:val="clear" w:color="auto" w:fill="5668B0"/>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shd w:val="clear" w:color="auto" w:fill="5668B0"/>
          </w:tcPr>
          <w:p>
            <w:pPr>
              <w:spacing w:after="0"/>
              <w:rPr>
                <w:sz w:val="15"/>
                <w:szCs w:val="15"/>
                <w:color w:val="auto"/>
              </w:rPr>
            </w:pPr>
          </w:p>
        </w:tc>
        <w:tc>
          <w:tcPr>
            <w:tcW w:w="200" w:type="dxa"/>
            <w:vAlign w:val="bottom"/>
            <w:shd w:val="clear" w:color="auto" w:fill="5668B0"/>
          </w:tcPr>
          <w:p>
            <w:pPr>
              <w:spacing w:after="0"/>
              <w:rPr>
                <w:sz w:val="15"/>
                <w:szCs w:val="15"/>
                <w:color w:val="auto"/>
              </w:rPr>
            </w:pPr>
          </w:p>
        </w:tc>
        <w:tc>
          <w:tcPr>
            <w:tcW w:w="960" w:type="dxa"/>
            <w:vAlign w:val="bottom"/>
            <w:shd w:val="clear" w:color="auto" w:fill="5668B0"/>
          </w:tcPr>
          <w:p>
            <w:pPr>
              <w:jc w:val="right"/>
              <w:ind w:right="43"/>
              <w:spacing w:after="0"/>
              <w:rPr>
                <w:sz w:val="20"/>
                <w:szCs w:val="20"/>
                <w:color w:val="auto"/>
              </w:rPr>
            </w:pPr>
            <w:r>
              <w:rPr>
                <w:rFonts w:ascii="Arial" w:cs="Arial" w:eastAsia="Arial" w:hAnsi="Arial"/>
                <w:sz w:val="13"/>
                <w:szCs w:val="13"/>
                <w:color w:val="FFFFFE"/>
              </w:rPr>
              <w:t>Severance</w:t>
            </w:r>
          </w:p>
        </w:tc>
        <w:tc>
          <w:tcPr>
            <w:tcW w:w="140" w:type="dxa"/>
            <w:vAlign w:val="bottom"/>
            <w:shd w:val="clear" w:color="auto" w:fill="5668B0"/>
          </w:tcPr>
          <w:p>
            <w:pPr>
              <w:spacing w:after="0"/>
              <w:rPr>
                <w:sz w:val="15"/>
                <w:szCs w:val="15"/>
                <w:color w:val="auto"/>
              </w:rPr>
            </w:pPr>
          </w:p>
        </w:tc>
        <w:tc>
          <w:tcPr>
            <w:tcW w:w="1000" w:type="dxa"/>
            <w:vAlign w:val="bottom"/>
            <w:shd w:val="clear" w:color="auto" w:fill="5668B0"/>
          </w:tcPr>
          <w:p>
            <w:pPr>
              <w:jc w:val="right"/>
              <w:ind w:right="123"/>
              <w:spacing w:after="0"/>
              <w:rPr>
                <w:sz w:val="20"/>
                <w:szCs w:val="20"/>
                <w:color w:val="auto"/>
              </w:rPr>
            </w:pPr>
            <w:r>
              <w:rPr>
                <w:rFonts w:ascii="Arial" w:cs="Arial" w:eastAsia="Arial" w:hAnsi="Arial"/>
                <w:sz w:val="13"/>
                <w:szCs w:val="13"/>
                <w:color w:val="FFFFFE"/>
              </w:rPr>
              <w:t>Continuation</w:t>
            </w:r>
          </w:p>
        </w:tc>
        <w:tc>
          <w:tcPr>
            <w:tcW w:w="760" w:type="dxa"/>
            <w:vAlign w:val="bottom"/>
            <w:shd w:val="clear" w:color="auto" w:fill="5668B0"/>
          </w:tcPr>
          <w:p>
            <w:pPr>
              <w:jc w:val="right"/>
              <w:ind w:right="3"/>
              <w:spacing w:after="0" w:line="182" w:lineRule="exact"/>
              <w:rPr>
                <w:sz w:val="20"/>
                <w:szCs w:val="20"/>
                <w:color w:val="auto"/>
              </w:rPr>
            </w:pPr>
            <w:r>
              <w:rPr>
                <w:rFonts w:ascii="Arial" w:cs="Arial" w:eastAsia="Arial" w:hAnsi="Arial"/>
                <w:sz w:val="13"/>
                <w:szCs w:val="13"/>
                <w:color w:val="FFFFFE"/>
              </w:rPr>
              <w:t>Benefits</w:t>
            </w:r>
            <w:r>
              <w:rPr>
                <w:rFonts w:ascii="Arial" w:cs="Arial" w:eastAsia="Arial" w:hAnsi="Arial"/>
                <w:sz w:val="20"/>
                <w:szCs w:val="20"/>
                <w:color w:val="FFFFFE"/>
                <w:vertAlign w:val="superscript"/>
              </w:rPr>
              <w:t>4</w:t>
            </w:r>
          </w:p>
        </w:tc>
        <w:tc>
          <w:tcPr>
            <w:tcW w:w="920" w:type="dxa"/>
            <w:vAlign w:val="bottom"/>
            <w:shd w:val="clear" w:color="auto" w:fill="5668B0"/>
          </w:tcPr>
          <w:p>
            <w:pPr>
              <w:jc w:val="right"/>
              <w:ind w:right="83"/>
              <w:spacing w:after="0"/>
              <w:rPr>
                <w:sz w:val="20"/>
                <w:szCs w:val="20"/>
                <w:color w:val="auto"/>
              </w:rPr>
            </w:pPr>
            <w:r>
              <w:rPr>
                <w:rFonts w:ascii="Arial" w:cs="Arial" w:eastAsia="Arial" w:hAnsi="Arial"/>
                <w:sz w:val="13"/>
                <w:szCs w:val="13"/>
                <w:color w:val="FFFFFE"/>
              </w:rPr>
              <w:t>Benefits</w:t>
            </w:r>
          </w:p>
        </w:tc>
        <w:tc>
          <w:tcPr>
            <w:tcW w:w="1120" w:type="dxa"/>
            <w:vAlign w:val="bottom"/>
            <w:shd w:val="clear" w:color="auto" w:fill="5668B0"/>
          </w:tcPr>
          <w:p>
            <w:pPr>
              <w:jc w:val="right"/>
              <w:ind w:right="105"/>
              <w:spacing w:after="0"/>
              <w:rPr>
                <w:sz w:val="20"/>
                <w:szCs w:val="20"/>
                <w:color w:val="auto"/>
              </w:rPr>
            </w:pPr>
            <w:r>
              <w:rPr>
                <w:rFonts w:ascii="Arial" w:cs="Arial" w:eastAsia="Arial" w:hAnsi="Arial"/>
                <w:sz w:val="13"/>
                <w:szCs w:val="13"/>
                <w:color w:val="FFFFFE"/>
              </w:rPr>
              <w:t>Options</w:t>
            </w:r>
          </w:p>
        </w:tc>
        <w:tc>
          <w:tcPr>
            <w:tcW w:w="700" w:type="dxa"/>
            <w:vAlign w:val="bottom"/>
            <w:shd w:val="clear" w:color="auto" w:fill="5668B0"/>
          </w:tcPr>
          <w:p>
            <w:pPr>
              <w:jc w:val="right"/>
              <w:ind w:right="4"/>
              <w:spacing w:after="0" w:line="182" w:lineRule="exact"/>
              <w:rPr>
                <w:sz w:val="20"/>
                <w:szCs w:val="20"/>
                <w:color w:val="auto"/>
              </w:rPr>
            </w:pPr>
            <w:r>
              <w:rPr>
                <w:rFonts w:ascii="Arial" w:cs="Arial" w:eastAsia="Arial" w:hAnsi="Arial"/>
                <w:sz w:val="13"/>
                <w:szCs w:val="13"/>
                <w:color w:val="FFFFFE"/>
              </w:rPr>
              <w:t>up</w:t>
            </w:r>
            <w:r>
              <w:rPr>
                <w:rFonts w:ascii="Arial" w:cs="Arial" w:eastAsia="Arial" w:hAnsi="Arial"/>
                <w:sz w:val="20"/>
                <w:szCs w:val="20"/>
                <w:color w:val="FFFFFE"/>
                <w:vertAlign w:val="superscript"/>
              </w:rPr>
              <w:t>6</w:t>
            </w:r>
          </w:p>
        </w:tc>
        <w:tc>
          <w:tcPr>
            <w:tcW w:w="180" w:type="dxa"/>
            <w:vAlign w:val="bottom"/>
            <w:shd w:val="clear" w:color="auto" w:fill="5668B0"/>
          </w:tcPr>
          <w:p>
            <w:pPr>
              <w:spacing w:after="0"/>
              <w:rPr>
                <w:sz w:val="15"/>
                <w:szCs w:val="15"/>
                <w:color w:val="auto"/>
              </w:rPr>
            </w:pPr>
          </w:p>
        </w:tc>
        <w:tc>
          <w:tcPr>
            <w:tcW w:w="84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00" w:type="dxa"/>
            <w:vAlign w:val="bottom"/>
            <w:shd w:val="clear" w:color="auto" w:fill="5668B0"/>
          </w:tcPr>
          <w:p>
            <w:pPr>
              <w:spacing w:after="0"/>
              <w:rPr>
                <w:sz w:val="12"/>
                <w:szCs w:val="12"/>
                <w:color w:val="auto"/>
              </w:rPr>
            </w:pPr>
          </w:p>
        </w:tc>
        <w:tc>
          <w:tcPr>
            <w:tcW w:w="200" w:type="dxa"/>
            <w:vAlign w:val="bottom"/>
            <w:shd w:val="clear" w:color="auto" w:fill="5668B0"/>
          </w:tcPr>
          <w:p>
            <w:pPr>
              <w:spacing w:after="0"/>
              <w:rPr>
                <w:sz w:val="12"/>
                <w:szCs w:val="12"/>
                <w:color w:val="auto"/>
              </w:rPr>
            </w:pPr>
          </w:p>
        </w:tc>
        <w:tc>
          <w:tcPr>
            <w:tcW w:w="960" w:type="dxa"/>
            <w:vAlign w:val="bottom"/>
            <w:shd w:val="clear" w:color="auto" w:fill="5668B0"/>
          </w:tcPr>
          <w:p>
            <w:pPr>
              <w:spacing w:after="0"/>
              <w:rPr>
                <w:sz w:val="12"/>
                <w:szCs w:val="12"/>
                <w:color w:val="auto"/>
              </w:rPr>
            </w:pPr>
          </w:p>
        </w:tc>
        <w:tc>
          <w:tcPr>
            <w:tcW w:w="140" w:type="dxa"/>
            <w:vAlign w:val="bottom"/>
            <w:shd w:val="clear" w:color="auto" w:fill="5668B0"/>
          </w:tcPr>
          <w:p>
            <w:pPr>
              <w:spacing w:after="0"/>
              <w:rPr>
                <w:sz w:val="12"/>
                <w:szCs w:val="12"/>
                <w:color w:val="auto"/>
              </w:rPr>
            </w:pPr>
          </w:p>
        </w:tc>
        <w:tc>
          <w:tcPr>
            <w:tcW w:w="1000" w:type="dxa"/>
            <w:vAlign w:val="bottom"/>
            <w:shd w:val="clear" w:color="auto" w:fill="5668B0"/>
          </w:tcPr>
          <w:p>
            <w:pPr>
              <w:spacing w:after="0"/>
              <w:rPr>
                <w:sz w:val="12"/>
                <w:szCs w:val="12"/>
                <w:color w:val="auto"/>
              </w:rPr>
            </w:pPr>
          </w:p>
        </w:tc>
        <w:tc>
          <w:tcPr>
            <w:tcW w:w="760" w:type="dxa"/>
            <w:vAlign w:val="bottom"/>
            <w:shd w:val="clear" w:color="auto" w:fill="5668B0"/>
          </w:tcPr>
          <w:p>
            <w:pPr>
              <w:spacing w:after="0"/>
              <w:rPr>
                <w:sz w:val="12"/>
                <w:szCs w:val="12"/>
                <w:color w:val="auto"/>
              </w:rPr>
            </w:pPr>
          </w:p>
        </w:tc>
        <w:tc>
          <w:tcPr>
            <w:tcW w:w="920" w:type="dxa"/>
            <w:vAlign w:val="bottom"/>
            <w:shd w:val="clear" w:color="auto" w:fill="5668B0"/>
          </w:tcPr>
          <w:p>
            <w:pPr>
              <w:spacing w:after="0"/>
              <w:rPr>
                <w:sz w:val="12"/>
                <w:szCs w:val="12"/>
                <w:color w:val="auto"/>
              </w:rPr>
            </w:pPr>
          </w:p>
        </w:tc>
        <w:tc>
          <w:tcPr>
            <w:tcW w:w="1120" w:type="dxa"/>
            <w:vAlign w:val="bottom"/>
            <w:shd w:val="clear" w:color="auto" w:fill="5668B0"/>
          </w:tcPr>
          <w:p>
            <w:pPr>
              <w:spacing w:after="0"/>
              <w:rPr>
                <w:sz w:val="12"/>
                <w:szCs w:val="12"/>
                <w:color w:val="auto"/>
              </w:rPr>
            </w:pPr>
          </w:p>
        </w:tc>
        <w:tc>
          <w:tcPr>
            <w:tcW w:w="700" w:type="dxa"/>
            <w:vAlign w:val="bottom"/>
            <w:shd w:val="clear" w:color="auto" w:fill="5668B0"/>
          </w:tcPr>
          <w:p>
            <w:pPr>
              <w:spacing w:after="0"/>
              <w:rPr>
                <w:sz w:val="12"/>
                <w:szCs w:val="12"/>
                <w:color w:val="auto"/>
              </w:rPr>
            </w:pPr>
          </w:p>
        </w:tc>
        <w:tc>
          <w:tcPr>
            <w:tcW w:w="180" w:type="dxa"/>
            <w:vAlign w:val="bottom"/>
            <w:shd w:val="clear" w:color="auto" w:fill="5668B0"/>
          </w:tcPr>
          <w:p>
            <w:pPr>
              <w:spacing w:after="0"/>
              <w:rPr>
                <w:sz w:val="12"/>
                <w:szCs w:val="12"/>
                <w:color w:val="auto"/>
              </w:rPr>
            </w:pPr>
          </w:p>
        </w:tc>
        <w:tc>
          <w:tcPr>
            <w:tcW w:w="840" w:type="dxa"/>
            <w:vAlign w:val="bottom"/>
            <w:shd w:val="clear" w:color="auto" w:fill="5668B0"/>
          </w:tcPr>
          <w:p>
            <w:pPr>
              <w:jc w:val="right"/>
              <w:spacing w:after="0" w:line="148" w:lineRule="exact"/>
              <w:rPr>
                <w:sz w:val="20"/>
                <w:szCs w:val="20"/>
                <w:color w:val="auto"/>
              </w:rPr>
            </w:pPr>
            <w:r>
              <w:rPr>
                <w:rFonts w:ascii="Arial" w:cs="Arial" w:eastAsia="Arial" w:hAnsi="Arial"/>
                <w:sz w:val="13"/>
                <w:szCs w:val="13"/>
                <w:color w:val="FFFFFE"/>
              </w:rPr>
              <w:t>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E6ECF8"/>
          </w:tcPr>
          <w:p>
            <w:pPr>
              <w:spacing w:after="0"/>
              <w:rPr>
                <w:sz w:val="20"/>
                <w:szCs w:val="20"/>
                <w:color w:val="auto"/>
              </w:rPr>
            </w:pPr>
            <w:r>
              <w:rPr>
                <w:rFonts w:ascii="Arial" w:cs="Arial" w:eastAsia="Arial" w:hAnsi="Arial"/>
                <w:sz w:val="16"/>
                <w:szCs w:val="16"/>
                <w:color w:val="auto"/>
              </w:rPr>
              <w:t>Involuntary Termination Following a Change</w:t>
            </w:r>
          </w:p>
        </w:tc>
        <w:tc>
          <w:tcPr>
            <w:tcW w:w="200" w:type="dxa"/>
            <w:vAlign w:val="bottom"/>
            <w:shd w:val="clear" w:color="auto" w:fill="E6ECF8"/>
          </w:tcPr>
          <w:p>
            <w:pPr>
              <w:spacing w:after="0"/>
              <w:rPr>
                <w:sz w:val="16"/>
                <w:szCs w:val="16"/>
                <w:color w:val="auto"/>
              </w:rPr>
            </w:pPr>
          </w:p>
        </w:tc>
        <w:tc>
          <w:tcPr>
            <w:tcW w:w="960" w:type="dxa"/>
            <w:vAlign w:val="bottom"/>
            <w:shd w:val="clear" w:color="auto" w:fill="E6ECF8"/>
          </w:tcPr>
          <w:p>
            <w:pPr>
              <w:spacing w:after="0"/>
              <w:rPr>
                <w:sz w:val="16"/>
                <w:szCs w:val="16"/>
                <w:color w:val="auto"/>
              </w:rPr>
            </w:pPr>
          </w:p>
        </w:tc>
        <w:tc>
          <w:tcPr>
            <w:tcW w:w="140" w:type="dxa"/>
            <w:vAlign w:val="bottom"/>
            <w:shd w:val="clear" w:color="auto" w:fill="E6ECF8"/>
          </w:tcPr>
          <w:p>
            <w:pPr>
              <w:spacing w:after="0"/>
              <w:rPr>
                <w:sz w:val="16"/>
                <w:szCs w:val="16"/>
                <w:color w:val="auto"/>
              </w:rPr>
            </w:pPr>
          </w:p>
        </w:tc>
        <w:tc>
          <w:tcPr>
            <w:tcW w:w="1000" w:type="dxa"/>
            <w:vAlign w:val="bottom"/>
            <w:shd w:val="clear" w:color="auto" w:fill="E6ECF8"/>
          </w:tcPr>
          <w:p>
            <w:pPr>
              <w:spacing w:after="0"/>
              <w:rPr>
                <w:sz w:val="16"/>
                <w:szCs w:val="16"/>
                <w:color w:val="auto"/>
              </w:rPr>
            </w:pPr>
          </w:p>
        </w:tc>
        <w:tc>
          <w:tcPr>
            <w:tcW w:w="760" w:type="dxa"/>
            <w:vAlign w:val="bottom"/>
            <w:shd w:val="clear" w:color="auto" w:fill="E6ECF8"/>
          </w:tcPr>
          <w:p>
            <w:pPr>
              <w:spacing w:after="0"/>
              <w:rPr>
                <w:sz w:val="16"/>
                <w:szCs w:val="16"/>
                <w:color w:val="auto"/>
              </w:rPr>
            </w:pPr>
          </w:p>
        </w:tc>
        <w:tc>
          <w:tcPr>
            <w:tcW w:w="920" w:type="dxa"/>
            <w:vAlign w:val="bottom"/>
            <w:shd w:val="clear" w:color="auto" w:fill="E6ECF8"/>
          </w:tcPr>
          <w:p>
            <w:pPr>
              <w:spacing w:after="0"/>
              <w:rPr>
                <w:sz w:val="16"/>
                <w:szCs w:val="16"/>
                <w:color w:val="auto"/>
              </w:rPr>
            </w:pPr>
          </w:p>
        </w:tc>
        <w:tc>
          <w:tcPr>
            <w:tcW w:w="1120" w:type="dxa"/>
            <w:vAlign w:val="bottom"/>
            <w:shd w:val="clear" w:color="auto" w:fill="E6ECF8"/>
          </w:tcPr>
          <w:p>
            <w:pPr>
              <w:spacing w:after="0"/>
              <w:rPr>
                <w:sz w:val="16"/>
                <w:szCs w:val="16"/>
                <w:color w:val="auto"/>
              </w:rPr>
            </w:pPr>
          </w:p>
        </w:tc>
        <w:tc>
          <w:tcPr>
            <w:tcW w:w="700" w:type="dxa"/>
            <w:vAlign w:val="bottom"/>
            <w:shd w:val="clear" w:color="auto" w:fill="E6ECF8"/>
          </w:tcPr>
          <w:p>
            <w:pPr>
              <w:spacing w:after="0"/>
              <w:rPr>
                <w:sz w:val="16"/>
                <w:szCs w:val="16"/>
                <w:color w:val="auto"/>
              </w:rPr>
            </w:pPr>
          </w:p>
        </w:tc>
        <w:tc>
          <w:tcPr>
            <w:tcW w:w="180" w:type="dxa"/>
            <w:vAlign w:val="bottom"/>
            <w:shd w:val="clear" w:color="auto" w:fill="E6ECF8"/>
          </w:tcPr>
          <w:p>
            <w:pPr>
              <w:spacing w:after="0"/>
              <w:rPr>
                <w:sz w:val="16"/>
                <w:szCs w:val="16"/>
                <w:color w:val="auto"/>
              </w:rPr>
            </w:pPr>
          </w:p>
        </w:tc>
        <w:tc>
          <w:tcPr>
            <w:tcW w:w="8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00" w:type="dxa"/>
            <w:vAlign w:val="bottom"/>
            <w:shd w:val="clear" w:color="auto" w:fill="E6ECF8"/>
          </w:tcPr>
          <w:p>
            <w:pPr>
              <w:ind w:left="120"/>
              <w:spacing w:after="0" w:line="225" w:lineRule="exact"/>
              <w:rPr>
                <w:sz w:val="20"/>
                <w:szCs w:val="20"/>
                <w:color w:val="auto"/>
              </w:rPr>
            </w:pPr>
            <w:r>
              <w:rPr>
                <w:rFonts w:ascii="Arial" w:cs="Arial" w:eastAsia="Arial" w:hAnsi="Arial"/>
                <w:sz w:val="16"/>
                <w:szCs w:val="16"/>
                <w:color w:val="auto"/>
              </w:rPr>
              <w:t xml:space="preserve">of Control </w:t>
            </w:r>
            <w:r>
              <w:rPr>
                <w:rFonts w:ascii="Arial" w:cs="Arial" w:eastAsia="Arial" w:hAnsi="Arial"/>
                <w:sz w:val="26"/>
                <w:szCs w:val="26"/>
                <w:color w:val="5668B0"/>
                <w:vertAlign w:val="superscript"/>
              </w:rPr>
              <w:t>1</w:t>
            </w:r>
          </w:p>
        </w:tc>
        <w:tc>
          <w:tcPr>
            <w:tcW w:w="2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6ECF8"/>
          </w:tcPr>
          <w:p>
            <w:pPr>
              <w:jc w:val="right"/>
              <w:spacing w:after="0" w:line="225" w:lineRule="exact"/>
              <w:rPr>
                <w:sz w:val="20"/>
                <w:szCs w:val="20"/>
                <w:color w:val="auto"/>
              </w:rPr>
            </w:pPr>
            <w:r>
              <w:rPr>
                <w:rFonts w:ascii="Arial" w:cs="Arial" w:eastAsia="Arial" w:hAnsi="Arial"/>
                <w:sz w:val="16"/>
                <w:szCs w:val="16"/>
                <w:color w:val="auto"/>
              </w:rPr>
              <w:t>10,112,400</w:t>
            </w:r>
            <w:r>
              <w:rPr>
                <w:rFonts w:ascii="Arial" w:cs="Arial" w:eastAsia="Arial" w:hAnsi="Arial"/>
                <w:sz w:val="26"/>
                <w:szCs w:val="26"/>
                <w:color w:val="5668B0"/>
                <w:vertAlign w:val="superscript"/>
              </w:rPr>
              <w:t>2</w:t>
            </w:r>
          </w:p>
        </w:tc>
        <w:tc>
          <w:tcPr>
            <w:tcW w:w="1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CF8"/>
          </w:tcPr>
          <w:p>
            <w:pPr>
              <w:jc w:val="right"/>
              <w:ind w:right="63"/>
              <w:spacing w:after="0" w:line="225" w:lineRule="exact"/>
              <w:rPr>
                <w:sz w:val="20"/>
                <w:szCs w:val="20"/>
                <w:color w:val="auto"/>
              </w:rPr>
            </w:pPr>
            <w:r>
              <w:rPr>
                <w:rFonts w:ascii="Arial" w:cs="Arial" w:eastAsia="Arial" w:hAnsi="Arial"/>
                <w:sz w:val="16"/>
                <w:szCs w:val="16"/>
                <w:color w:val="auto"/>
              </w:rPr>
              <w:t>199,311</w:t>
            </w:r>
            <w:r>
              <w:rPr>
                <w:rFonts w:ascii="Arial" w:cs="Arial" w:eastAsia="Arial" w:hAnsi="Arial"/>
                <w:sz w:val="26"/>
                <w:szCs w:val="26"/>
                <w:color w:val="5668B0"/>
                <w:vertAlign w:val="superscript"/>
              </w:rPr>
              <w:t>3</w:t>
            </w:r>
          </w:p>
        </w:tc>
        <w:tc>
          <w:tcPr>
            <w:tcW w:w="760" w:type="dxa"/>
            <w:vAlign w:val="bottom"/>
            <w:shd w:val="clear" w:color="auto" w:fill="E6ECF8"/>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E6ECF8"/>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E6ECF8"/>
          </w:tcPr>
          <w:p>
            <w:pPr>
              <w:jc w:val="right"/>
              <w:ind w:right="25"/>
              <w:spacing w:after="0" w:line="225" w:lineRule="exact"/>
              <w:rPr>
                <w:sz w:val="20"/>
                <w:szCs w:val="20"/>
                <w:color w:val="auto"/>
              </w:rPr>
            </w:pPr>
            <w:r>
              <w:rPr>
                <w:rFonts w:ascii="Arial" w:cs="Arial" w:eastAsia="Arial" w:hAnsi="Arial"/>
                <w:sz w:val="16"/>
                <w:szCs w:val="16"/>
                <w:color w:val="auto"/>
                <w:w w:val="96"/>
              </w:rPr>
              <w:t>$ 79,965,946</w:t>
            </w:r>
            <w:r>
              <w:rPr>
                <w:rFonts w:ascii="Arial" w:cs="Arial" w:eastAsia="Arial" w:hAnsi="Arial"/>
                <w:sz w:val="26"/>
                <w:szCs w:val="26"/>
                <w:color w:val="5668B0"/>
                <w:w w:val="96"/>
                <w:vertAlign w:val="superscript"/>
              </w:rPr>
              <w:t>5</w:t>
            </w:r>
          </w:p>
        </w:tc>
        <w:tc>
          <w:tcPr>
            <w:tcW w:w="700" w:type="dxa"/>
            <w:vAlign w:val="bottom"/>
            <w:shd w:val="clear" w:color="auto" w:fill="E6ECF8"/>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90,277,657</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00" w:type="dxa"/>
            <w:vAlign w:val="bottom"/>
            <w:shd w:val="clear" w:color="auto" w:fill="D0DBEF"/>
          </w:tcPr>
          <w:p>
            <w:pPr>
              <w:spacing w:after="0"/>
              <w:rPr>
                <w:sz w:val="20"/>
                <w:szCs w:val="20"/>
                <w:color w:val="auto"/>
              </w:rPr>
            </w:pPr>
            <w:r>
              <w:rPr>
                <w:rFonts w:ascii="Arial" w:cs="Arial" w:eastAsia="Arial" w:hAnsi="Arial"/>
                <w:sz w:val="16"/>
                <w:szCs w:val="16"/>
                <w:color w:val="auto"/>
              </w:rPr>
              <w:t>Involuntary Termination</w:t>
            </w:r>
          </w:p>
        </w:tc>
        <w:tc>
          <w:tcPr>
            <w:tcW w:w="2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0DBEF"/>
          </w:tcPr>
          <w:p>
            <w:pPr>
              <w:jc w:val="right"/>
              <w:spacing w:after="0"/>
              <w:rPr>
                <w:sz w:val="20"/>
                <w:szCs w:val="20"/>
                <w:color w:val="auto"/>
              </w:rPr>
            </w:pPr>
            <w:r>
              <w:rPr>
                <w:rFonts w:ascii="Arial" w:cs="Arial" w:eastAsia="Arial" w:hAnsi="Arial"/>
                <w:sz w:val="16"/>
                <w:szCs w:val="16"/>
                <w:color w:val="auto"/>
              </w:rPr>
              <w:t>4,213,500</w:t>
            </w:r>
            <w:r>
              <w:rPr>
                <w:rFonts w:ascii="Arial" w:cs="Arial" w:eastAsia="Arial" w:hAnsi="Arial"/>
                <w:sz w:val="27"/>
                <w:szCs w:val="27"/>
                <w:color w:val="5668B0"/>
                <w:vertAlign w:val="superscript"/>
              </w:rPr>
              <w:t>7</w:t>
            </w:r>
          </w:p>
        </w:tc>
        <w:tc>
          <w:tcPr>
            <w:tcW w:w="1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0DBEF"/>
          </w:tcPr>
          <w:p>
            <w:pPr>
              <w:jc w:val="right"/>
              <w:ind w:right="63"/>
              <w:spacing w:after="0"/>
              <w:rPr>
                <w:sz w:val="20"/>
                <w:szCs w:val="20"/>
                <w:color w:val="auto"/>
              </w:rPr>
            </w:pPr>
            <w:r>
              <w:rPr>
                <w:rFonts w:ascii="Arial" w:cs="Arial" w:eastAsia="Arial" w:hAnsi="Arial"/>
                <w:sz w:val="16"/>
                <w:szCs w:val="16"/>
                <w:color w:val="auto"/>
              </w:rPr>
              <w:t>91,742</w:t>
            </w:r>
            <w:r>
              <w:rPr>
                <w:rFonts w:ascii="Arial" w:cs="Arial" w:eastAsia="Arial" w:hAnsi="Arial"/>
                <w:sz w:val="27"/>
                <w:szCs w:val="27"/>
                <w:color w:val="5668B0"/>
                <w:vertAlign w:val="superscript"/>
              </w:rPr>
              <w:t>8</w:t>
            </w:r>
          </w:p>
        </w:tc>
        <w:tc>
          <w:tcPr>
            <w:tcW w:w="760" w:type="dxa"/>
            <w:vAlign w:val="bottom"/>
            <w:shd w:val="clear" w:color="auto" w:fill="D0DBEF"/>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D0DBEF"/>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D0DBEF"/>
          </w:tcPr>
          <w:p>
            <w:pPr>
              <w:ind w:left="780"/>
              <w:spacing w:after="0"/>
              <w:rPr>
                <w:sz w:val="20"/>
                <w:szCs w:val="20"/>
                <w:color w:val="auto"/>
              </w:rPr>
            </w:pPr>
            <w:r>
              <w:rPr>
                <w:rFonts w:ascii="Arial" w:cs="Arial" w:eastAsia="Arial" w:hAnsi="Arial"/>
                <w:sz w:val="16"/>
                <w:szCs w:val="16"/>
                <w:color w:val="auto"/>
              </w:rPr>
              <w:t>—</w:t>
            </w:r>
          </w:p>
        </w:tc>
        <w:tc>
          <w:tcPr>
            <w:tcW w:w="700" w:type="dxa"/>
            <w:vAlign w:val="bottom"/>
            <w:shd w:val="clear" w:color="auto" w:fill="D0DBEF"/>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4,305,242</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00" w:type="dxa"/>
            <w:vAlign w:val="bottom"/>
            <w:shd w:val="clear" w:color="auto" w:fill="E6ECF8"/>
          </w:tcPr>
          <w:p>
            <w:pPr>
              <w:spacing w:after="0"/>
              <w:rPr>
                <w:sz w:val="20"/>
                <w:szCs w:val="20"/>
                <w:color w:val="auto"/>
              </w:rPr>
            </w:pPr>
            <w:r>
              <w:rPr>
                <w:rFonts w:ascii="Arial" w:cs="Arial" w:eastAsia="Arial" w:hAnsi="Arial"/>
                <w:sz w:val="16"/>
                <w:szCs w:val="16"/>
                <w:color w:val="auto"/>
              </w:rPr>
              <w:t>Death</w:t>
            </w:r>
          </w:p>
        </w:tc>
        <w:tc>
          <w:tcPr>
            <w:tcW w:w="200" w:type="dxa"/>
            <w:vAlign w:val="bottom"/>
            <w:shd w:val="clear" w:color="auto" w:fill="E6ECF8"/>
          </w:tcPr>
          <w:p>
            <w:pPr>
              <w:spacing w:after="0"/>
              <w:rPr>
                <w:sz w:val="24"/>
                <w:szCs w:val="24"/>
                <w:color w:val="auto"/>
              </w:rPr>
            </w:pPr>
          </w:p>
        </w:tc>
        <w:tc>
          <w:tcPr>
            <w:tcW w:w="960" w:type="dxa"/>
            <w:vAlign w:val="bottom"/>
            <w:shd w:val="clear" w:color="auto" w:fill="E6ECF8"/>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CF8"/>
          </w:tcPr>
          <w:p>
            <w:pPr>
              <w:jc w:val="right"/>
              <w:ind w:right="63"/>
              <w:spacing w:after="0"/>
              <w:rPr>
                <w:sz w:val="20"/>
                <w:szCs w:val="20"/>
                <w:color w:val="auto"/>
              </w:rPr>
            </w:pPr>
            <w:r>
              <w:rPr>
                <w:rFonts w:ascii="Arial" w:cs="Arial" w:eastAsia="Arial" w:hAnsi="Arial"/>
                <w:sz w:val="16"/>
                <w:szCs w:val="16"/>
                <w:color w:val="auto"/>
              </w:rPr>
              <w:t>89,260</w:t>
            </w:r>
            <w:r>
              <w:rPr>
                <w:rFonts w:ascii="Arial" w:cs="Arial" w:eastAsia="Arial" w:hAnsi="Arial"/>
                <w:sz w:val="27"/>
                <w:szCs w:val="27"/>
                <w:color w:val="5668B0"/>
                <w:vertAlign w:val="superscript"/>
              </w:rPr>
              <w:t>8</w:t>
            </w:r>
          </w:p>
        </w:tc>
        <w:tc>
          <w:tcPr>
            <w:tcW w:w="760" w:type="dxa"/>
            <w:vAlign w:val="bottom"/>
            <w:shd w:val="clear" w:color="auto" w:fill="E6ECF8"/>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E6ECF8"/>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E6ECF8"/>
          </w:tcPr>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27"/>
                <w:szCs w:val="27"/>
                <w:color w:val="5668B0"/>
                <w:vertAlign w:val="superscript"/>
              </w:rPr>
              <w:t>9</w:t>
            </w:r>
          </w:p>
        </w:tc>
        <w:tc>
          <w:tcPr>
            <w:tcW w:w="700" w:type="dxa"/>
            <w:vAlign w:val="bottom"/>
            <w:shd w:val="clear" w:color="auto" w:fill="E6ECF8"/>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89,260</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00" w:type="dxa"/>
            <w:vAlign w:val="bottom"/>
            <w:tcBorders>
              <w:bottom w:val="single" w:sz="8" w:color="5668B0"/>
            </w:tcBorders>
            <w:shd w:val="clear" w:color="auto" w:fill="D0DBEF"/>
          </w:tcPr>
          <w:p>
            <w:pPr>
              <w:spacing w:after="0"/>
              <w:rPr>
                <w:sz w:val="20"/>
                <w:szCs w:val="20"/>
                <w:color w:val="auto"/>
              </w:rPr>
            </w:pPr>
            <w:r>
              <w:rPr>
                <w:rFonts w:ascii="Arial" w:cs="Arial" w:eastAsia="Arial" w:hAnsi="Arial"/>
                <w:sz w:val="16"/>
                <w:szCs w:val="16"/>
                <w:color w:val="auto"/>
              </w:rPr>
              <w:t>Disability</w:t>
            </w:r>
          </w:p>
        </w:tc>
        <w:tc>
          <w:tcPr>
            <w:tcW w:w="200" w:type="dxa"/>
            <w:vAlign w:val="bottom"/>
            <w:tcBorders>
              <w:bottom w:val="single" w:sz="8" w:color="5668B0"/>
            </w:tcBorders>
            <w:shd w:val="clear" w:color="auto" w:fill="D0DBEF"/>
          </w:tcPr>
          <w:p>
            <w:pPr>
              <w:spacing w:after="0"/>
              <w:rPr>
                <w:sz w:val="24"/>
                <w:szCs w:val="24"/>
                <w:color w:val="auto"/>
              </w:rPr>
            </w:pPr>
          </w:p>
        </w:tc>
        <w:tc>
          <w:tcPr>
            <w:tcW w:w="960" w:type="dxa"/>
            <w:vAlign w:val="bottom"/>
            <w:tcBorders>
              <w:bottom w:val="single" w:sz="8" w:color="5668B0"/>
            </w:tcBorders>
            <w:shd w:val="clear" w:color="auto" w:fill="D0DBEF"/>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5668B0"/>
            </w:tcBorders>
            <w:shd w:val="clear" w:color="auto" w:fill="D0DBEF"/>
          </w:tcPr>
          <w:p>
            <w:pPr>
              <w:jc w:val="right"/>
              <w:ind w:right="63"/>
              <w:spacing w:after="0"/>
              <w:rPr>
                <w:sz w:val="20"/>
                <w:szCs w:val="20"/>
                <w:color w:val="auto"/>
              </w:rPr>
            </w:pPr>
            <w:r>
              <w:rPr>
                <w:rFonts w:ascii="Arial" w:cs="Arial" w:eastAsia="Arial" w:hAnsi="Arial"/>
                <w:sz w:val="16"/>
                <w:szCs w:val="16"/>
                <w:color w:val="auto"/>
              </w:rPr>
              <w:t>91,742</w:t>
            </w:r>
            <w:r>
              <w:rPr>
                <w:rFonts w:ascii="Arial" w:cs="Arial" w:eastAsia="Arial" w:hAnsi="Arial"/>
                <w:sz w:val="27"/>
                <w:szCs w:val="27"/>
                <w:color w:val="5668B0"/>
                <w:vertAlign w:val="superscript"/>
              </w:rPr>
              <w:t>8</w:t>
            </w:r>
          </w:p>
        </w:tc>
        <w:tc>
          <w:tcPr>
            <w:tcW w:w="760" w:type="dxa"/>
            <w:vAlign w:val="bottom"/>
            <w:tcBorders>
              <w:bottom w:val="single" w:sz="8" w:color="5668B0"/>
            </w:tcBorders>
            <w:shd w:val="clear" w:color="auto" w:fill="D0DBEF"/>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6"/>
                <w:szCs w:val="16"/>
                <w:color w:val="auto"/>
              </w:rPr>
              <w:t>$630,000</w:t>
            </w:r>
            <w:r>
              <w:rPr>
                <w:rFonts w:ascii="Arial" w:cs="Arial" w:eastAsia="Arial" w:hAnsi="Arial"/>
                <w:sz w:val="27"/>
                <w:szCs w:val="27"/>
                <w:color w:val="5668B0"/>
                <w:vertAlign w:val="superscript"/>
              </w:rPr>
              <w:t>10</w:t>
            </w:r>
          </w:p>
        </w:tc>
        <w:tc>
          <w:tcPr>
            <w:tcW w:w="1120" w:type="dxa"/>
            <w:vAlign w:val="bottom"/>
            <w:tcBorders>
              <w:bottom w:val="single" w:sz="8" w:color="5668B0"/>
            </w:tcBorders>
            <w:shd w:val="clear" w:color="auto" w:fill="D0DBEF"/>
          </w:tcPr>
          <w:p>
            <w:pPr>
              <w:ind w:left="7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5668B0"/>
            </w:tcBorders>
            <w:shd w:val="clear" w:color="auto" w:fill="D0DBEF"/>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6"/>
                <w:szCs w:val="16"/>
                <w:color w:val="auto"/>
              </w:rPr>
              <w:t>721,742</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500" w:hanging="499"/>
        <w:spacing w:after="0" w:line="231" w:lineRule="auto"/>
        <w:tabs>
          <w:tab w:leader="none" w:pos="500" w:val="left"/>
        </w:tabs>
        <w:numPr>
          <w:ilvl w:val="0"/>
          <w:numId w:val="112"/>
        </w:numPr>
        <w:rPr>
          <w:rFonts w:ascii="Arial" w:cs="Arial" w:eastAsia="Arial" w:hAnsi="Arial"/>
          <w:sz w:val="20"/>
          <w:szCs w:val="20"/>
          <w:b w:val="1"/>
          <w:bCs w:val="1"/>
          <w:color w:val="5668B0"/>
          <w:vertAlign w:val="superscript"/>
        </w:rPr>
      </w:pPr>
      <w:r>
        <w:rPr>
          <w:rFonts w:ascii="Arial" w:cs="Arial" w:eastAsia="Arial" w:hAnsi="Arial"/>
          <w:sz w:val="13"/>
          <w:szCs w:val="13"/>
          <w:color w:val="auto"/>
        </w:rPr>
        <w:t>For purposes of these calculations, (i) we used Dr. Schleifer's 2015 base salary and the annual bonuses paid to Dr. Schleifer for performance in 2012, 2013, and 2014, respectively; (ii) we assumed that Dr. Schleifer received his annual bonus that was earned in 2015 and paid in 2016 (described in the Summary Compensation Table on page 61);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an 8% annual increase in medical premiums, 5% annual increase in dental premiums, and an increase in annual life insurance premiums from $1,655 to $7,000 in October 2017; (v) we assumed that the medical and dental insurance benefits received in 2016, 2017, and 2018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96" w:lineRule="exact"/>
        <w:rPr>
          <w:sz w:val="20"/>
          <w:szCs w:val="20"/>
          <w:color w:val="auto"/>
        </w:rPr>
      </w:pPr>
    </w:p>
    <w:p>
      <w:pPr>
        <w:ind w:left="500" w:hanging="499"/>
        <w:spacing w:after="0" w:line="198" w:lineRule="auto"/>
        <w:tabs>
          <w:tab w:leader="none" w:pos="500" w:val="left"/>
        </w:tabs>
        <w:numPr>
          <w:ilvl w:val="0"/>
          <w:numId w:val="113"/>
        </w:numPr>
        <w:rPr>
          <w:rFonts w:ascii="Arial" w:cs="Arial" w:eastAsia="Arial" w:hAnsi="Arial"/>
          <w:sz w:val="20"/>
          <w:szCs w:val="20"/>
          <w:b w:val="1"/>
          <w:bCs w:val="1"/>
          <w:color w:val="5668B0"/>
          <w:vertAlign w:val="superscript"/>
        </w:rPr>
      </w:pPr>
      <w:r>
        <w:rPr>
          <w:rFonts w:ascii="Arial" w:cs="Arial" w:eastAsia="Arial" w:hAnsi="Arial"/>
          <w:sz w:val="13"/>
          <w:szCs w:val="13"/>
          <w:color w:val="auto"/>
        </w:rPr>
        <w:t>Equal to three times the sum of (a) Dr. Schleifer's 2015 base salary and (b) the average annual bonus paid to Dr. Schleifer for performance in the three completed years prior to the termination date. For purposes of this calculation, we used Dr. Schleifer's annual bonuses for performance in 2012, 2013, and 2014.</w:t>
      </w:r>
    </w:p>
    <w:p>
      <w:pPr>
        <w:spacing w:after="0" w:line="125" w:lineRule="exact"/>
        <w:rPr>
          <w:sz w:val="20"/>
          <w:szCs w:val="20"/>
          <w:color w:val="auto"/>
        </w:rPr>
      </w:pPr>
    </w:p>
    <w:p>
      <w:pPr>
        <w:ind w:left="500" w:hanging="499"/>
        <w:spacing w:after="0"/>
        <w:tabs>
          <w:tab w:leader="none" w:pos="500" w:val="left"/>
        </w:tabs>
        <w:numPr>
          <w:ilvl w:val="0"/>
          <w:numId w:val="114"/>
        </w:numPr>
        <w:rPr>
          <w:rFonts w:ascii="Arial" w:cs="Arial" w:eastAsia="Arial" w:hAnsi="Arial"/>
          <w:sz w:val="20"/>
          <w:szCs w:val="20"/>
          <w:b w:val="1"/>
          <w:bCs w:val="1"/>
          <w:color w:val="5668B0"/>
          <w:vertAlign w:val="superscript"/>
        </w:rPr>
      </w:pPr>
      <w:r>
        <w:rPr>
          <w:rFonts w:ascii="Arial" w:cs="Arial" w:eastAsia="Arial" w:hAnsi="Arial"/>
          <w:sz w:val="13"/>
          <w:szCs w:val="13"/>
          <w:color w:val="auto"/>
        </w:rPr>
        <w:t>Equal to the estimated cost of providing Dr. Schleifer and his dependents medical, dental, and life insurance benefits for thirty-six months.</w:t>
      </w:r>
    </w:p>
    <w:p>
      <w:pPr>
        <w:spacing w:after="0" w:line="124" w:lineRule="exact"/>
        <w:rPr>
          <w:sz w:val="20"/>
          <w:szCs w:val="20"/>
          <w:color w:val="auto"/>
        </w:rPr>
      </w:pPr>
    </w:p>
    <w:p>
      <w:pPr>
        <w:ind w:left="500" w:hanging="499"/>
        <w:spacing w:after="0"/>
        <w:tabs>
          <w:tab w:leader="none" w:pos="500" w:val="left"/>
        </w:tabs>
        <w:numPr>
          <w:ilvl w:val="0"/>
          <w:numId w:val="115"/>
        </w:numPr>
        <w:rPr>
          <w:rFonts w:ascii="Arial" w:cs="Arial" w:eastAsia="Arial" w:hAnsi="Arial"/>
          <w:sz w:val="20"/>
          <w:szCs w:val="20"/>
          <w:b w:val="1"/>
          <w:bCs w:val="1"/>
          <w:color w:val="5668B0"/>
          <w:vertAlign w:val="superscript"/>
        </w:rPr>
      </w:pPr>
      <w:r>
        <w:rPr>
          <w:rFonts w:ascii="Arial" w:cs="Arial" w:eastAsia="Arial" w:hAnsi="Arial"/>
          <w:sz w:val="13"/>
          <w:szCs w:val="13"/>
          <w:color w:val="auto"/>
        </w:rPr>
        <w:t>We maintain $1 million of term life insurance covering Dr. Schleifer payable to his designated beneficiary.</w:t>
      </w:r>
    </w:p>
    <w:p>
      <w:pPr>
        <w:spacing w:after="0" w:line="192" w:lineRule="exact"/>
        <w:rPr>
          <w:sz w:val="20"/>
          <w:szCs w:val="20"/>
          <w:color w:val="auto"/>
        </w:rPr>
      </w:pPr>
    </w:p>
    <w:p>
      <w:pPr>
        <w:ind w:left="500" w:hanging="499"/>
        <w:spacing w:after="0" w:line="198" w:lineRule="auto"/>
        <w:tabs>
          <w:tab w:leader="none" w:pos="500" w:val="left"/>
        </w:tabs>
        <w:numPr>
          <w:ilvl w:val="0"/>
          <w:numId w:val="116"/>
        </w:numPr>
        <w:rPr>
          <w:rFonts w:ascii="Arial" w:cs="Arial" w:eastAsia="Arial" w:hAnsi="Arial"/>
          <w:sz w:val="20"/>
          <w:szCs w:val="20"/>
          <w:b w:val="1"/>
          <w:bCs w:val="1"/>
          <w:color w:val="5668B0"/>
          <w:vertAlign w:val="superscript"/>
        </w:rPr>
      </w:pPr>
      <w:r>
        <w:rPr>
          <w:rFonts w:ascii="Arial" w:cs="Arial" w:eastAsia="Arial" w:hAnsi="Arial"/>
          <w:sz w:val="13"/>
          <w:szCs w:val="13"/>
          <w:color w:val="auto"/>
        </w:rPr>
        <w:t>Equal to the aggregate amount of the differences between the exercise prices of Dr. Schleifer's accelerated stock options and the closing sales price per share of the Company's common stock on the NASDAQ Global Select Market on December 31, 2015 of $542.87.</w:t>
      </w:r>
    </w:p>
    <w:p>
      <w:pPr>
        <w:spacing w:after="0" w:line="193" w:lineRule="exact"/>
        <w:rPr>
          <w:sz w:val="20"/>
          <w:szCs w:val="20"/>
          <w:color w:val="auto"/>
        </w:rPr>
      </w:pPr>
    </w:p>
    <w:p>
      <w:pPr>
        <w:jc w:val="both"/>
        <w:ind w:left="500" w:hanging="499"/>
        <w:spacing w:after="0" w:line="218" w:lineRule="auto"/>
        <w:tabs>
          <w:tab w:leader="none" w:pos="500" w:val="left"/>
        </w:tabs>
        <w:numPr>
          <w:ilvl w:val="0"/>
          <w:numId w:val="117"/>
        </w:numPr>
        <w:rPr>
          <w:rFonts w:ascii="Arial" w:cs="Arial" w:eastAsia="Arial" w:hAnsi="Arial"/>
          <w:sz w:val="20"/>
          <w:szCs w:val="20"/>
          <w:b w:val="1"/>
          <w:bCs w:val="1"/>
          <w:color w:val="5668B0"/>
          <w:vertAlign w:val="superscript"/>
        </w:rPr>
      </w:pPr>
      <w:r>
        <w:rPr>
          <w:rFonts w:ascii="Arial" w:cs="Arial" w:eastAsia="Arial" w:hAnsi="Arial"/>
          <w:sz w:val="13"/>
          <w:szCs w:val="13"/>
          <w:color w:val="auto"/>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ten percent. Otherwise, we will pay him an additional "gross up" amount so that his after tax benefits are the same as though no excise tax had been applied. We have determined that Dr. Schleifer would not be subject to excise taxes if he had been terminated on December 31, 2015 as a result of a change of control.</w:t>
      </w:r>
    </w:p>
    <w:p>
      <w:pPr>
        <w:spacing w:after="0" w:line="194" w:lineRule="exact"/>
        <w:rPr>
          <w:sz w:val="20"/>
          <w:szCs w:val="20"/>
          <w:color w:val="auto"/>
        </w:rPr>
      </w:pPr>
    </w:p>
    <w:p>
      <w:pPr>
        <w:ind w:left="500" w:hanging="499"/>
        <w:spacing w:after="0" w:line="198" w:lineRule="auto"/>
        <w:tabs>
          <w:tab w:leader="none" w:pos="500" w:val="left"/>
        </w:tabs>
        <w:numPr>
          <w:ilvl w:val="0"/>
          <w:numId w:val="118"/>
        </w:numPr>
        <w:rPr>
          <w:rFonts w:ascii="Arial" w:cs="Arial" w:eastAsia="Arial" w:hAnsi="Arial"/>
          <w:sz w:val="20"/>
          <w:szCs w:val="20"/>
          <w:b w:val="1"/>
          <w:bCs w:val="1"/>
          <w:color w:val="5668B0"/>
          <w:vertAlign w:val="superscript"/>
        </w:rPr>
      </w:pPr>
      <w:r>
        <w:rPr>
          <w:rFonts w:ascii="Arial" w:cs="Arial" w:eastAsia="Arial" w:hAnsi="Arial"/>
          <w:sz w:val="13"/>
          <w:szCs w:val="13"/>
          <w:color w:val="auto"/>
        </w:rPr>
        <w:t>Equal to 1.25 times the sum of (a) Dr. Schleifer's 2015 base salary and (b) the average annual bonus paid to Dr. Schleifer for performance in the three completed years prior to the termination date. For purposes of this calculation, we used Dr. Schleifer's annual bonuses for performance in 2012, 2013, and 2014.</w:t>
      </w:r>
    </w:p>
    <w:p>
      <w:pPr>
        <w:spacing w:after="0" w:line="125" w:lineRule="exact"/>
        <w:rPr>
          <w:sz w:val="20"/>
          <w:szCs w:val="20"/>
          <w:color w:val="auto"/>
        </w:rPr>
      </w:pPr>
    </w:p>
    <w:p>
      <w:pPr>
        <w:ind w:left="500" w:hanging="499"/>
        <w:spacing w:after="0"/>
        <w:tabs>
          <w:tab w:leader="none" w:pos="500" w:val="left"/>
        </w:tabs>
        <w:numPr>
          <w:ilvl w:val="0"/>
          <w:numId w:val="119"/>
        </w:numPr>
        <w:rPr>
          <w:rFonts w:ascii="Arial" w:cs="Arial" w:eastAsia="Arial" w:hAnsi="Arial"/>
          <w:sz w:val="20"/>
          <w:szCs w:val="20"/>
          <w:b w:val="1"/>
          <w:bCs w:val="1"/>
          <w:color w:val="5668B0"/>
          <w:vertAlign w:val="superscript"/>
        </w:rPr>
      </w:pPr>
      <w:r>
        <w:rPr>
          <w:rFonts w:ascii="Arial" w:cs="Arial" w:eastAsia="Arial" w:hAnsi="Arial"/>
          <w:sz w:val="13"/>
          <w:szCs w:val="13"/>
          <w:color w:val="auto"/>
        </w:rPr>
        <w:t>Equal to the estimated cost of providing Dr. Schleifer and his dependents medical, dental, and life insurance benefits for eighteen months.</w:t>
      </w:r>
    </w:p>
    <w:p>
      <w:pPr>
        <w:spacing w:after="0" w:line="192" w:lineRule="exact"/>
        <w:rPr>
          <w:sz w:val="20"/>
          <w:szCs w:val="20"/>
          <w:color w:val="auto"/>
        </w:rPr>
      </w:pPr>
    </w:p>
    <w:p>
      <w:pPr>
        <w:ind w:left="500" w:hanging="499"/>
        <w:spacing w:after="0" w:line="198" w:lineRule="auto"/>
        <w:tabs>
          <w:tab w:leader="none" w:pos="500" w:val="left"/>
        </w:tabs>
        <w:numPr>
          <w:ilvl w:val="0"/>
          <w:numId w:val="120"/>
        </w:numPr>
        <w:rPr>
          <w:rFonts w:ascii="Arial" w:cs="Arial" w:eastAsia="Arial" w:hAnsi="Arial"/>
          <w:sz w:val="20"/>
          <w:szCs w:val="20"/>
          <w:b w:val="1"/>
          <w:bCs w:val="1"/>
          <w:color w:val="5668B0"/>
          <w:vertAlign w:val="superscript"/>
        </w:rPr>
      </w:pPr>
      <w:r>
        <w:rPr>
          <w:rFonts w:ascii="Arial" w:cs="Arial" w:eastAsia="Arial" w:hAnsi="Arial"/>
          <w:sz w:val="13"/>
          <w:szCs w:val="13"/>
          <w:color w:val="auto"/>
        </w:rPr>
        <w:t>As discussed under "Section 4 – Elements of Executive Compensation – Potential Severance Benefits" on page 59, unvested stock options held by any employee (including Dr. Schleifer) become immediately exercisable upon his or her death.</w:t>
      </w:r>
    </w:p>
    <w:p>
      <w:pPr>
        <w:spacing w:after="0" w:line="193" w:lineRule="exact"/>
        <w:rPr>
          <w:sz w:val="20"/>
          <w:szCs w:val="20"/>
          <w:color w:val="auto"/>
        </w:rPr>
      </w:pPr>
    </w:p>
    <w:p>
      <w:pPr>
        <w:ind w:left="500" w:hanging="499"/>
        <w:spacing w:after="0" w:line="198" w:lineRule="auto"/>
        <w:tabs>
          <w:tab w:leader="none" w:pos="500" w:val="left"/>
        </w:tabs>
        <w:numPr>
          <w:ilvl w:val="0"/>
          <w:numId w:val="121"/>
        </w:numPr>
        <w:rPr>
          <w:rFonts w:ascii="Arial" w:cs="Arial" w:eastAsia="Arial" w:hAnsi="Arial"/>
          <w:sz w:val="20"/>
          <w:szCs w:val="20"/>
          <w:b w:val="1"/>
          <w:bCs w:val="1"/>
          <w:color w:val="5668B0"/>
          <w:vertAlign w:val="superscript"/>
        </w:rPr>
      </w:pPr>
      <w:r>
        <w:rPr>
          <w:rFonts w:ascii="Arial" w:cs="Arial" w:eastAsia="Arial" w:hAnsi="Arial"/>
          <w:sz w:val="13"/>
          <w:szCs w:val="13"/>
          <w:color w:val="auto"/>
        </w:rPr>
        <w:t>Represents 35% of Dr. Schleifer's 2015 salary over a period of eighteen months. We have assumed long-term disability coverage exists pursuant to Dr. Schleifer's employment agreement for the remaining 65% of Dr. Schleifer's salary.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67</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2" w:name="page83"/>
    <w:bookmarkEnd w:id="82"/>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Change in Control Severance Plan</w:t>
      </w:r>
    </w:p>
    <w:p>
      <w:pPr>
        <w:spacing w:after="0" w:line="224"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Each of the Named Officers, other than our Chief Executive Officer, participates in our change in control severance plan that was adopted by the board of directors on January 20, 2006. The purposes of the plan are</w:t>
      </w:r>
    </w:p>
    <w:p>
      <w:pPr>
        <w:spacing w:after="0" w:line="1" w:lineRule="exact"/>
        <w:rPr>
          <w:sz w:val="20"/>
          <w:szCs w:val="20"/>
          <w:color w:val="auto"/>
        </w:rPr>
      </w:pPr>
    </w:p>
    <w:p>
      <w:pPr>
        <w:jc w:val="both"/>
        <w:ind w:firstLine="1"/>
        <w:spacing w:after="0" w:line="249" w:lineRule="auto"/>
        <w:tabs>
          <w:tab w:leader="none" w:pos="19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of the Internal Revenue Code.</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plan, each participant is entitled to receive a cash severance payment in an amount equal to one, or, in designated cases, including with respect to the Named Officers other than Dr. Schleifer, two times the sum of the participant's annual base salary and his or her average annual bonus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642620" cy="1930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251460</wp:posOffset>
            </wp:positionV>
            <wp:extent cx="8255" cy="1930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85" w:lineRule="exact"/>
        <w:rPr>
          <w:sz w:val="20"/>
          <w:szCs w:val="20"/>
          <w:color w:val="auto"/>
        </w:rPr>
      </w:pPr>
    </w:p>
    <w:p>
      <w:pPr>
        <w:ind w:left="1160" w:hanging="744"/>
        <w:spacing w:after="0"/>
        <w:tabs>
          <w:tab w:leader="none" w:pos="1160" w:val="left"/>
        </w:tabs>
        <w:numPr>
          <w:ilvl w:val="0"/>
          <w:numId w:val="12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3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994410</wp:posOffset>
            </wp:positionV>
            <wp:extent cx="725995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shows the potential payments to our Named Officers (other than our Chief Executive Officer), upon their hypothetical termination (other than for Cause) or resignation for Good Reason, in the two years following, or the six months prior to, a change in control. The information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table below is based on an effective termination or resignation date of December 31, 2015 and on the assumptions set forth in the footnotes to the table; actual values and amounts may differ from those presented below.</w:t>
      </w:r>
    </w:p>
    <w:p>
      <w:pPr>
        <w:spacing w:after="0" w:line="577"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under Change in Control Severance Plan</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308"/>
        </w:trPr>
        <w:tc>
          <w:tcPr>
            <w:tcW w:w="2640" w:type="dxa"/>
            <w:vAlign w:val="bottom"/>
            <w:shd w:val="clear" w:color="auto" w:fill="5668B0"/>
          </w:tcPr>
          <w:p>
            <w:pPr>
              <w:spacing w:after="0"/>
              <w:rPr>
                <w:sz w:val="24"/>
                <w:szCs w:val="24"/>
                <w:color w:val="auto"/>
              </w:rPr>
            </w:pPr>
          </w:p>
        </w:tc>
        <w:tc>
          <w:tcPr>
            <w:tcW w:w="340" w:type="dxa"/>
            <w:vAlign w:val="bottom"/>
            <w:shd w:val="clear" w:color="auto" w:fill="5668B0"/>
          </w:tcPr>
          <w:p>
            <w:pPr>
              <w:spacing w:after="0"/>
              <w:rPr>
                <w:sz w:val="24"/>
                <w:szCs w:val="24"/>
                <w:color w:val="auto"/>
              </w:rPr>
            </w:pPr>
          </w:p>
        </w:tc>
        <w:tc>
          <w:tcPr>
            <w:tcW w:w="860" w:type="dxa"/>
            <w:vAlign w:val="bottom"/>
            <w:shd w:val="clear" w:color="auto" w:fill="5668B0"/>
          </w:tcPr>
          <w:p>
            <w:pPr>
              <w:spacing w:after="0"/>
              <w:rPr>
                <w:sz w:val="24"/>
                <w:szCs w:val="24"/>
                <w:color w:val="auto"/>
              </w:rPr>
            </w:pPr>
          </w:p>
        </w:tc>
        <w:tc>
          <w:tcPr>
            <w:tcW w:w="220" w:type="dxa"/>
            <w:vAlign w:val="bottom"/>
            <w:shd w:val="clear" w:color="auto" w:fill="5668B0"/>
          </w:tcPr>
          <w:p>
            <w:pPr>
              <w:spacing w:after="0"/>
              <w:rPr>
                <w:sz w:val="24"/>
                <w:szCs w:val="24"/>
                <w:color w:val="auto"/>
              </w:rPr>
            </w:pPr>
          </w:p>
        </w:tc>
        <w:tc>
          <w:tcPr>
            <w:tcW w:w="960" w:type="dxa"/>
            <w:vAlign w:val="bottom"/>
            <w:shd w:val="clear" w:color="auto" w:fill="5668B0"/>
          </w:tcPr>
          <w:p>
            <w:pPr>
              <w:spacing w:after="0"/>
              <w:rPr>
                <w:sz w:val="24"/>
                <w:szCs w:val="24"/>
                <w:color w:val="auto"/>
              </w:rPr>
            </w:pPr>
          </w:p>
        </w:tc>
        <w:tc>
          <w:tcPr>
            <w:tcW w:w="180" w:type="dxa"/>
            <w:vAlign w:val="bottom"/>
            <w:shd w:val="clear" w:color="auto" w:fill="5668B0"/>
          </w:tcPr>
          <w:p>
            <w:pPr>
              <w:spacing w:after="0"/>
              <w:rPr>
                <w:sz w:val="24"/>
                <w:szCs w:val="24"/>
                <w:color w:val="auto"/>
              </w:rPr>
            </w:pPr>
          </w:p>
        </w:tc>
        <w:tc>
          <w:tcPr>
            <w:tcW w:w="128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Value of</w:t>
            </w:r>
          </w:p>
        </w:tc>
        <w:tc>
          <w:tcPr>
            <w:tcW w:w="820" w:type="dxa"/>
            <w:vAlign w:val="bottom"/>
            <w:shd w:val="clear" w:color="auto" w:fill="5668B0"/>
          </w:tcPr>
          <w:p>
            <w:pPr>
              <w:spacing w:after="0"/>
              <w:rPr>
                <w:sz w:val="24"/>
                <w:szCs w:val="24"/>
                <w:color w:val="auto"/>
              </w:rPr>
            </w:pPr>
          </w:p>
        </w:tc>
        <w:tc>
          <w:tcPr>
            <w:tcW w:w="280" w:type="dxa"/>
            <w:vAlign w:val="bottom"/>
            <w:shd w:val="clear" w:color="auto" w:fill="5668B0"/>
          </w:tcPr>
          <w:p>
            <w:pPr>
              <w:spacing w:after="0"/>
              <w:rPr>
                <w:sz w:val="24"/>
                <w:szCs w:val="24"/>
                <w:color w:val="auto"/>
              </w:rPr>
            </w:pPr>
          </w:p>
        </w:tc>
        <w:tc>
          <w:tcPr>
            <w:tcW w:w="840" w:type="dxa"/>
            <w:vAlign w:val="bottom"/>
            <w:shd w:val="clear" w:color="auto" w:fill="5668B0"/>
          </w:tcPr>
          <w:p>
            <w:pPr>
              <w:spacing w:after="0"/>
              <w:rPr>
                <w:sz w:val="24"/>
                <w:szCs w:val="24"/>
                <w:color w:val="auto"/>
              </w:rPr>
            </w:pPr>
          </w:p>
        </w:tc>
      </w:tr>
      <w:tr>
        <w:trPr>
          <w:trHeight w:val="152"/>
        </w:trPr>
        <w:tc>
          <w:tcPr>
            <w:tcW w:w="2640" w:type="dxa"/>
            <w:vAlign w:val="bottom"/>
            <w:shd w:val="clear" w:color="auto" w:fill="5668B0"/>
          </w:tcPr>
          <w:p>
            <w:pPr>
              <w:spacing w:after="0"/>
              <w:rPr>
                <w:sz w:val="13"/>
                <w:szCs w:val="13"/>
                <w:color w:val="auto"/>
              </w:rPr>
            </w:pPr>
          </w:p>
        </w:tc>
        <w:tc>
          <w:tcPr>
            <w:tcW w:w="340" w:type="dxa"/>
            <w:vAlign w:val="bottom"/>
            <w:shd w:val="clear" w:color="auto" w:fill="5668B0"/>
          </w:tcPr>
          <w:p>
            <w:pPr>
              <w:spacing w:after="0"/>
              <w:rPr>
                <w:sz w:val="13"/>
                <w:szCs w:val="13"/>
                <w:color w:val="auto"/>
              </w:rPr>
            </w:pPr>
          </w:p>
        </w:tc>
        <w:tc>
          <w:tcPr>
            <w:tcW w:w="860" w:type="dxa"/>
            <w:vAlign w:val="bottom"/>
            <w:shd w:val="clear" w:color="auto" w:fill="5668B0"/>
          </w:tcPr>
          <w:p>
            <w:pPr>
              <w:spacing w:after="0"/>
              <w:rPr>
                <w:sz w:val="13"/>
                <w:szCs w:val="13"/>
                <w:color w:val="auto"/>
              </w:rPr>
            </w:pPr>
          </w:p>
        </w:tc>
        <w:tc>
          <w:tcPr>
            <w:tcW w:w="220" w:type="dxa"/>
            <w:vAlign w:val="bottom"/>
            <w:shd w:val="clear" w:color="auto" w:fill="5668B0"/>
          </w:tcPr>
          <w:p>
            <w:pPr>
              <w:spacing w:after="0"/>
              <w:rPr>
                <w:sz w:val="13"/>
                <w:szCs w:val="13"/>
                <w:color w:val="auto"/>
              </w:rPr>
            </w:pPr>
          </w:p>
        </w:tc>
        <w:tc>
          <w:tcPr>
            <w:tcW w:w="960" w:type="dxa"/>
            <w:vAlign w:val="bottom"/>
            <w:shd w:val="clear" w:color="auto" w:fill="5668B0"/>
          </w:tcPr>
          <w:p>
            <w:pPr>
              <w:spacing w:after="0"/>
              <w:rPr>
                <w:sz w:val="13"/>
                <w:szCs w:val="13"/>
                <w:color w:val="auto"/>
              </w:rPr>
            </w:pPr>
          </w:p>
        </w:tc>
        <w:tc>
          <w:tcPr>
            <w:tcW w:w="180" w:type="dxa"/>
            <w:vAlign w:val="bottom"/>
            <w:shd w:val="clear" w:color="auto" w:fill="5668B0"/>
          </w:tcPr>
          <w:p>
            <w:pPr>
              <w:spacing w:after="0"/>
              <w:rPr>
                <w:sz w:val="13"/>
                <w:szCs w:val="13"/>
                <w:color w:val="auto"/>
              </w:rPr>
            </w:pPr>
          </w:p>
        </w:tc>
        <w:tc>
          <w:tcPr>
            <w:tcW w:w="128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Accelerated Stock</w:t>
            </w:r>
          </w:p>
        </w:tc>
        <w:tc>
          <w:tcPr>
            <w:tcW w:w="820" w:type="dxa"/>
            <w:vAlign w:val="bottom"/>
            <w:shd w:val="clear" w:color="auto" w:fill="5668B0"/>
          </w:tcPr>
          <w:p>
            <w:pPr>
              <w:spacing w:after="0"/>
              <w:rPr>
                <w:sz w:val="13"/>
                <w:szCs w:val="13"/>
                <w:color w:val="auto"/>
              </w:rPr>
            </w:pPr>
          </w:p>
        </w:tc>
        <w:tc>
          <w:tcPr>
            <w:tcW w:w="280" w:type="dxa"/>
            <w:vAlign w:val="bottom"/>
            <w:shd w:val="clear" w:color="auto" w:fill="5668B0"/>
          </w:tcPr>
          <w:p>
            <w:pPr>
              <w:spacing w:after="0"/>
              <w:rPr>
                <w:sz w:val="13"/>
                <w:szCs w:val="13"/>
                <w:color w:val="auto"/>
              </w:rPr>
            </w:pPr>
          </w:p>
        </w:tc>
        <w:tc>
          <w:tcPr>
            <w:tcW w:w="840" w:type="dxa"/>
            <w:vAlign w:val="bottom"/>
            <w:shd w:val="clear" w:color="auto" w:fill="5668B0"/>
          </w:tcPr>
          <w:p>
            <w:pPr>
              <w:spacing w:after="0"/>
              <w:rPr>
                <w:sz w:val="13"/>
                <w:szCs w:val="13"/>
                <w:color w:val="auto"/>
              </w:rPr>
            </w:pPr>
          </w:p>
        </w:tc>
      </w:tr>
      <w:tr>
        <w:trPr>
          <w:trHeight w:val="144"/>
        </w:trPr>
        <w:tc>
          <w:tcPr>
            <w:tcW w:w="2640" w:type="dxa"/>
            <w:vAlign w:val="bottom"/>
            <w:shd w:val="clear" w:color="auto" w:fill="5668B0"/>
          </w:tcPr>
          <w:p>
            <w:pPr>
              <w:spacing w:after="0"/>
              <w:rPr>
                <w:sz w:val="12"/>
                <w:szCs w:val="12"/>
                <w:color w:val="auto"/>
              </w:rPr>
            </w:pPr>
          </w:p>
        </w:tc>
        <w:tc>
          <w:tcPr>
            <w:tcW w:w="340" w:type="dxa"/>
            <w:vAlign w:val="bottom"/>
            <w:shd w:val="clear" w:color="auto" w:fill="5668B0"/>
          </w:tcPr>
          <w:p>
            <w:pPr>
              <w:spacing w:after="0"/>
              <w:rPr>
                <w:sz w:val="12"/>
                <w:szCs w:val="12"/>
                <w:color w:val="auto"/>
              </w:rPr>
            </w:pPr>
          </w:p>
        </w:tc>
        <w:tc>
          <w:tcPr>
            <w:tcW w:w="860" w:type="dxa"/>
            <w:vAlign w:val="bottom"/>
            <w:shd w:val="clear" w:color="auto" w:fill="5668B0"/>
          </w:tcPr>
          <w:p>
            <w:pPr>
              <w:jc w:val="right"/>
              <w:ind w:right="53"/>
              <w:spacing w:after="0" w:line="144" w:lineRule="exact"/>
              <w:rPr>
                <w:sz w:val="20"/>
                <w:szCs w:val="20"/>
                <w:color w:val="auto"/>
              </w:rPr>
            </w:pPr>
            <w:r>
              <w:rPr>
                <w:rFonts w:ascii="Arial" w:cs="Arial" w:eastAsia="Arial" w:hAnsi="Arial"/>
                <w:sz w:val="13"/>
                <w:szCs w:val="13"/>
                <w:color w:val="FFFFFE"/>
              </w:rPr>
              <w:t>Cash</w:t>
            </w:r>
          </w:p>
        </w:tc>
        <w:tc>
          <w:tcPr>
            <w:tcW w:w="220" w:type="dxa"/>
            <w:vAlign w:val="bottom"/>
            <w:shd w:val="clear" w:color="auto" w:fill="5668B0"/>
          </w:tcPr>
          <w:p>
            <w:pPr>
              <w:spacing w:after="0"/>
              <w:rPr>
                <w:sz w:val="12"/>
                <w:szCs w:val="12"/>
                <w:color w:val="auto"/>
              </w:rPr>
            </w:pPr>
          </w:p>
        </w:tc>
        <w:tc>
          <w:tcPr>
            <w:tcW w:w="960" w:type="dxa"/>
            <w:vAlign w:val="bottom"/>
            <w:shd w:val="clear" w:color="auto" w:fill="5668B0"/>
          </w:tcPr>
          <w:p>
            <w:pPr>
              <w:jc w:val="right"/>
              <w:ind w:right="53"/>
              <w:spacing w:after="0" w:line="144" w:lineRule="exact"/>
              <w:rPr>
                <w:sz w:val="20"/>
                <w:szCs w:val="20"/>
                <w:color w:val="auto"/>
              </w:rPr>
            </w:pPr>
            <w:r>
              <w:rPr>
                <w:rFonts w:ascii="Arial" w:cs="Arial" w:eastAsia="Arial" w:hAnsi="Arial"/>
                <w:sz w:val="13"/>
                <w:szCs w:val="13"/>
                <w:color w:val="FFFFFE"/>
              </w:rPr>
              <w:t>Benefits</w:t>
            </w:r>
          </w:p>
        </w:tc>
        <w:tc>
          <w:tcPr>
            <w:tcW w:w="180" w:type="dxa"/>
            <w:vAlign w:val="bottom"/>
            <w:shd w:val="clear" w:color="auto" w:fill="5668B0"/>
          </w:tcPr>
          <w:p>
            <w:pPr>
              <w:spacing w:after="0"/>
              <w:rPr>
                <w:sz w:val="12"/>
                <w:szCs w:val="12"/>
                <w:color w:val="auto"/>
              </w:rPr>
            </w:pPr>
          </w:p>
        </w:tc>
        <w:tc>
          <w:tcPr>
            <w:tcW w:w="1280" w:type="dxa"/>
            <w:vAlign w:val="bottom"/>
            <w:shd w:val="clear" w:color="auto" w:fill="5668B0"/>
          </w:tcPr>
          <w:p>
            <w:pPr>
              <w:jc w:val="right"/>
              <w:ind w:right="93"/>
              <w:spacing w:after="0" w:line="144" w:lineRule="exact"/>
              <w:rPr>
                <w:sz w:val="20"/>
                <w:szCs w:val="20"/>
                <w:color w:val="auto"/>
              </w:rPr>
            </w:pPr>
            <w:r>
              <w:rPr>
                <w:rFonts w:ascii="Arial" w:cs="Arial" w:eastAsia="Arial" w:hAnsi="Arial"/>
                <w:sz w:val="13"/>
                <w:szCs w:val="13"/>
                <w:color w:val="FFFFFE"/>
              </w:rPr>
              <w:t>Options/Restricted</w:t>
            </w:r>
          </w:p>
        </w:tc>
        <w:tc>
          <w:tcPr>
            <w:tcW w:w="820" w:type="dxa"/>
            <w:vAlign w:val="bottom"/>
            <w:shd w:val="clear" w:color="auto" w:fill="5668B0"/>
          </w:tcPr>
          <w:p>
            <w:pPr>
              <w:spacing w:after="0"/>
              <w:rPr>
                <w:sz w:val="12"/>
                <w:szCs w:val="12"/>
                <w:color w:val="auto"/>
              </w:rPr>
            </w:pPr>
          </w:p>
        </w:tc>
        <w:tc>
          <w:tcPr>
            <w:tcW w:w="280" w:type="dxa"/>
            <w:vAlign w:val="bottom"/>
            <w:shd w:val="clear" w:color="auto" w:fill="5668B0"/>
          </w:tcPr>
          <w:p>
            <w:pPr>
              <w:spacing w:after="0"/>
              <w:rPr>
                <w:sz w:val="12"/>
                <w:szCs w:val="12"/>
                <w:color w:val="auto"/>
              </w:rPr>
            </w:pPr>
          </w:p>
        </w:tc>
        <w:tc>
          <w:tcPr>
            <w:tcW w:w="840" w:type="dxa"/>
            <w:vAlign w:val="bottom"/>
            <w:shd w:val="clear" w:color="auto" w:fill="5668B0"/>
          </w:tcPr>
          <w:p>
            <w:pPr>
              <w:jc w:val="right"/>
              <w:spacing w:after="0" w:line="144" w:lineRule="exact"/>
              <w:rPr>
                <w:sz w:val="20"/>
                <w:szCs w:val="20"/>
                <w:color w:val="auto"/>
              </w:rPr>
            </w:pPr>
            <w:r>
              <w:rPr>
                <w:rFonts w:ascii="Arial" w:cs="Arial" w:eastAsia="Arial" w:hAnsi="Arial"/>
                <w:sz w:val="13"/>
                <w:szCs w:val="13"/>
                <w:color w:val="FFFFFE"/>
              </w:rPr>
              <w:t>Total</w:t>
            </w:r>
          </w:p>
        </w:tc>
      </w:tr>
      <w:tr>
        <w:trPr>
          <w:trHeight w:val="259"/>
        </w:trPr>
        <w:tc>
          <w:tcPr>
            <w:tcW w:w="2640" w:type="dxa"/>
            <w:vAlign w:val="bottom"/>
            <w:shd w:val="clear" w:color="auto" w:fill="5668B0"/>
          </w:tcPr>
          <w:p>
            <w:pPr>
              <w:spacing w:after="0"/>
              <w:rPr>
                <w:sz w:val="22"/>
                <w:szCs w:val="22"/>
                <w:color w:val="auto"/>
              </w:rPr>
            </w:pPr>
          </w:p>
        </w:tc>
        <w:tc>
          <w:tcPr>
            <w:tcW w:w="340" w:type="dxa"/>
            <w:vAlign w:val="bottom"/>
            <w:shd w:val="clear" w:color="auto" w:fill="5668B0"/>
          </w:tcPr>
          <w:p>
            <w:pPr>
              <w:spacing w:after="0"/>
              <w:rPr>
                <w:sz w:val="22"/>
                <w:szCs w:val="22"/>
                <w:color w:val="auto"/>
              </w:rPr>
            </w:pPr>
          </w:p>
        </w:tc>
        <w:tc>
          <w:tcPr>
            <w:tcW w:w="86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Severance</w:t>
            </w:r>
            <w:r>
              <w:rPr>
                <w:rFonts w:ascii="Arial" w:cs="Arial" w:eastAsia="Arial" w:hAnsi="Arial"/>
                <w:sz w:val="20"/>
                <w:szCs w:val="20"/>
                <w:color w:val="FFFFFE"/>
                <w:vertAlign w:val="superscript"/>
              </w:rPr>
              <w:t>1</w:t>
            </w:r>
          </w:p>
        </w:tc>
        <w:tc>
          <w:tcPr>
            <w:tcW w:w="220" w:type="dxa"/>
            <w:vAlign w:val="bottom"/>
            <w:shd w:val="clear" w:color="auto" w:fill="5668B0"/>
          </w:tcPr>
          <w:p>
            <w:pPr>
              <w:spacing w:after="0"/>
              <w:rPr>
                <w:sz w:val="22"/>
                <w:szCs w:val="22"/>
                <w:color w:val="auto"/>
              </w:rPr>
            </w:pPr>
          </w:p>
        </w:tc>
        <w:tc>
          <w:tcPr>
            <w:tcW w:w="96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Continuation</w:t>
            </w:r>
            <w:r>
              <w:rPr>
                <w:rFonts w:ascii="Arial" w:cs="Arial" w:eastAsia="Arial" w:hAnsi="Arial"/>
                <w:sz w:val="20"/>
                <w:szCs w:val="20"/>
                <w:color w:val="FFFFFE"/>
                <w:vertAlign w:val="superscript"/>
              </w:rPr>
              <w:t>2</w:t>
            </w:r>
          </w:p>
        </w:tc>
        <w:tc>
          <w:tcPr>
            <w:tcW w:w="180" w:type="dxa"/>
            <w:vAlign w:val="bottom"/>
            <w:shd w:val="clear" w:color="auto" w:fill="5668B0"/>
          </w:tcPr>
          <w:p>
            <w:pPr>
              <w:spacing w:after="0"/>
              <w:rPr>
                <w:sz w:val="22"/>
                <w:szCs w:val="22"/>
                <w:color w:val="auto"/>
              </w:rPr>
            </w:pPr>
          </w:p>
        </w:tc>
        <w:tc>
          <w:tcPr>
            <w:tcW w:w="1280" w:type="dxa"/>
            <w:vAlign w:val="bottom"/>
            <w:shd w:val="clear" w:color="auto" w:fill="5668B0"/>
          </w:tcPr>
          <w:p>
            <w:pPr>
              <w:jc w:val="right"/>
              <w:ind w:right="93"/>
              <w:spacing w:after="0"/>
              <w:rPr>
                <w:sz w:val="20"/>
                <w:szCs w:val="20"/>
                <w:color w:val="auto"/>
              </w:rPr>
            </w:pPr>
            <w:r>
              <w:rPr>
                <w:rFonts w:ascii="Arial" w:cs="Arial" w:eastAsia="Arial" w:hAnsi="Arial"/>
                <w:sz w:val="13"/>
                <w:szCs w:val="13"/>
                <w:color w:val="FFFFFE"/>
              </w:rPr>
              <w:t>Stock</w:t>
            </w:r>
            <w:r>
              <w:rPr>
                <w:rFonts w:ascii="Arial" w:cs="Arial" w:eastAsia="Arial" w:hAnsi="Arial"/>
                <w:sz w:val="20"/>
                <w:szCs w:val="20"/>
                <w:color w:val="FFFFFE"/>
                <w:vertAlign w:val="superscript"/>
              </w:rPr>
              <w:t>3</w:t>
            </w:r>
          </w:p>
        </w:tc>
        <w:tc>
          <w:tcPr>
            <w:tcW w:w="820" w:type="dxa"/>
            <w:vAlign w:val="bottom"/>
            <w:shd w:val="clear" w:color="auto" w:fill="5668B0"/>
          </w:tcPr>
          <w:p>
            <w:pPr>
              <w:jc w:val="right"/>
              <w:ind w:right="53"/>
              <w:spacing w:after="0"/>
              <w:rPr>
                <w:sz w:val="20"/>
                <w:szCs w:val="20"/>
                <w:color w:val="auto"/>
              </w:rPr>
            </w:pPr>
            <w:r>
              <w:rPr>
                <w:rFonts w:ascii="Arial" w:cs="Arial" w:eastAsia="Arial" w:hAnsi="Arial"/>
                <w:sz w:val="13"/>
                <w:szCs w:val="13"/>
                <w:color w:val="FFFFFE"/>
              </w:rPr>
              <w:t>Cutback</w:t>
            </w:r>
            <w:r>
              <w:rPr>
                <w:rFonts w:ascii="Arial" w:cs="Arial" w:eastAsia="Arial" w:hAnsi="Arial"/>
                <w:sz w:val="20"/>
                <w:szCs w:val="20"/>
                <w:color w:val="FFFFFE"/>
                <w:vertAlign w:val="superscript"/>
              </w:rPr>
              <w:t>4</w:t>
            </w:r>
          </w:p>
        </w:tc>
        <w:tc>
          <w:tcPr>
            <w:tcW w:w="280" w:type="dxa"/>
            <w:vAlign w:val="bottom"/>
            <w:shd w:val="clear" w:color="auto" w:fill="5668B0"/>
          </w:tcPr>
          <w:p>
            <w:pPr>
              <w:spacing w:after="0"/>
              <w:rPr>
                <w:sz w:val="22"/>
                <w:szCs w:val="22"/>
                <w:color w:val="auto"/>
              </w:rPr>
            </w:pPr>
          </w:p>
        </w:tc>
        <w:tc>
          <w:tcPr>
            <w:tcW w:w="84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Amount</w:t>
            </w:r>
            <w:r>
              <w:rPr>
                <w:rFonts w:ascii="Arial" w:cs="Arial" w:eastAsia="Arial" w:hAnsi="Arial"/>
                <w:sz w:val="20"/>
                <w:szCs w:val="20"/>
                <w:color w:val="FFFFFE"/>
                <w:vertAlign w:val="superscript"/>
              </w:rPr>
              <w:t>5</w:t>
            </w:r>
          </w:p>
        </w:tc>
      </w:tr>
      <w:tr>
        <w:trPr>
          <w:trHeight w:val="73"/>
        </w:trPr>
        <w:tc>
          <w:tcPr>
            <w:tcW w:w="2640" w:type="dxa"/>
            <w:vAlign w:val="bottom"/>
            <w:shd w:val="clear" w:color="auto" w:fill="5668B0"/>
          </w:tcPr>
          <w:p>
            <w:pPr>
              <w:spacing w:after="0"/>
              <w:rPr>
                <w:sz w:val="6"/>
                <w:szCs w:val="6"/>
                <w:color w:val="auto"/>
              </w:rPr>
            </w:pPr>
          </w:p>
        </w:tc>
        <w:tc>
          <w:tcPr>
            <w:tcW w:w="340" w:type="dxa"/>
            <w:vAlign w:val="bottom"/>
            <w:shd w:val="clear" w:color="auto" w:fill="5668B0"/>
          </w:tcPr>
          <w:p>
            <w:pPr>
              <w:spacing w:after="0"/>
              <w:rPr>
                <w:sz w:val="6"/>
                <w:szCs w:val="6"/>
                <w:color w:val="auto"/>
              </w:rPr>
            </w:pPr>
          </w:p>
        </w:tc>
        <w:tc>
          <w:tcPr>
            <w:tcW w:w="860" w:type="dxa"/>
            <w:vAlign w:val="bottom"/>
            <w:shd w:val="clear" w:color="auto" w:fill="5668B0"/>
          </w:tcPr>
          <w:p>
            <w:pPr>
              <w:spacing w:after="0"/>
              <w:rPr>
                <w:sz w:val="6"/>
                <w:szCs w:val="6"/>
                <w:color w:val="auto"/>
              </w:rPr>
            </w:pPr>
          </w:p>
        </w:tc>
        <w:tc>
          <w:tcPr>
            <w:tcW w:w="220" w:type="dxa"/>
            <w:vAlign w:val="bottom"/>
            <w:shd w:val="clear" w:color="auto" w:fill="5668B0"/>
          </w:tcPr>
          <w:p>
            <w:pPr>
              <w:spacing w:after="0"/>
              <w:rPr>
                <w:sz w:val="6"/>
                <w:szCs w:val="6"/>
                <w:color w:val="auto"/>
              </w:rPr>
            </w:pPr>
          </w:p>
        </w:tc>
        <w:tc>
          <w:tcPr>
            <w:tcW w:w="960" w:type="dxa"/>
            <w:vAlign w:val="bottom"/>
            <w:shd w:val="clear" w:color="auto" w:fill="5668B0"/>
          </w:tcPr>
          <w:p>
            <w:pPr>
              <w:spacing w:after="0"/>
              <w:rPr>
                <w:sz w:val="6"/>
                <w:szCs w:val="6"/>
                <w:color w:val="auto"/>
              </w:rPr>
            </w:pPr>
          </w:p>
        </w:tc>
        <w:tc>
          <w:tcPr>
            <w:tcW w:w="180" w:type="dxa"/>
            <w:vAlign w:val="bottom"/>
            <w:shd w:val="clear" w:color="auto" w:fill="5668B0"/>
          </w:tcPr>
          <w:p>
            <w:pPr>
              <w:spacing w:after="0"/>
              <w:rPr>
                <w:sz w:val="6"/>
                <w:szCs w:val="6"/>
                <w:color w:val="auto"/>
              </w:rPr>
            </w:pPr>
          </w:p>
        </w:tc>
        <w:tc>
          <w:tcPr>
            <w:tcW w:w="1280" w:type="dxa"/>
            <w:vAlign w:val="bottom"/>
            <w:shd w:val="clear" w:color="auto" w:fill="5668B0"/>
          </w:tcPr>
          <w:p>
            <w:pPr>
              <w:spacing w:after="0"/>
              <w:rPr>
                <w:sz w:val="6"/>
                <w:szCs w:val="6"/>
                <w:color w:val="auto"/>
              </w:rPr>
            </w:pPr>
          </w:p>
        </w:tc>
        <w:tc>
          <w:tcPr>
            <w:tcW w:w="820" w:type="dxa"/>
            <w:vAlign w:val="bottom"/>
            <w:shd w:val="clear" w:color="auto" w:fill="5668B0"/>
          </w:tcPr>
          <w:p>
            <w:pPr>
              <w:spacing w:after="0"/>
              <w:rPr>
                <w:sz w:val="6"/>
                <w:szCs w:val="6"/>
                <w:color w:val="auto"/>
              </w:rPr>
            </w:pPr>
          </w:p>
        </w:tc>
        <w:tc>
          <w:tcPr>
            <w:tcW w:w="280" w:type="dxa"/>
            <w:vAlign w:val="bottom"/>
            <w:shd w:val="clear" w:color="auto" w:fill="5668B0"/>
          </w:tcPr>
          <w:p>
            <w:pPr>
              <w:spacing w:after="0"/>
              <w:rPr>
                <w:sz w:val="6"/>
                <w:szCs w:val="6"/>
                <w:color w:val="auto"/>
              </w:rPr>
            </w:pPr>
          </w:p>
        </w:tc>
        <w:tc>
          <w:tcPr>
            <w:tcW w:w="840" w:type="dxa"/>
            <w:vAlign w:val="bottom"/>
            <w:shd w:val="clear" w:color="auto" w:fill="5668B0"/>
          </w:tcPr>
          <w:p>
            <w:pPr>
              <w:spacing w:after="0"/>
              <w:rPr>
                <w:sz w:val="6"/>
                <w:szCs w:val="6"/>
                <w:color w:val="auto"/>
              </w:rPr>
            </w:pPr>
          </w:p>
        </w:tc>
      </w:tr>
      <w:tr>
        <w:trPr>
          <w:trHeight w:val="152"/>
        </w:trPr>
        <w:tc>
          <w:tcPr>
            <w:tcW w:w="2640" w:type="dxa"/>
            <w:vAlign w:val="bottom"/>
            <w:shd w:val="clear" w:color="auto" w:fill="E6ECF8"/>
          </w:tcPr>
          <w:p>
            <w:pPr>
              <w:ind w:left="20"/>
              <w:spacing w:after="0"/>
              <w:rPr>
                <w:sz w:val="20"/>
                <w:szCs w:val="20"/>
                <w:color w:val="auto"/>
              </w:rPr>
            </w:pPr>
            <w:r>
              <w:rPr>
                <w:rFonts w:ascii="Arial" w:cs="Arial" w:eastAsia="Arial" w:hAnsi="Arial"/>
                <w:sz w:val="13"/>
                <w:szCs w:val="13"/>
                <w:color w:val="auto"/>
              </w:rPr>
              <w:t>George D. Yancopoulos, M.D., Ph.D.</w:t>
            </w:r>
          </w:p>
        </w:tc>
        <w:tc>
          <w:tcPr>
            <w:tcW w:w="3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5,730,360</w:t>
            </w:r>
          </w:p>
        </w:tc>
        <w:tc>
          <w:tcPr>
            <w:tcW w:w="22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114,488</w:t>
            </w:r>
          </w:p>
        </w:tc>
        <w:tc>
          <w:tcPr>
            <w:tcW w:w="1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339,406,080</w:t>
            </w:r>
          </w:p>
        </w:tc>
        <w:tc>
          <w:tcPr>
            <w:tcW w:w="8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345,250,928</w:t>
            </w:r>
          </w:p>
        </w:tc>
      </w:tr>
      <w:tr>
        <w:trPr>
          <w:trHeight w:val="152"/>
        </w:trPr>
        <w:tc>
          <w:tcPr>
            <w:tcW w:w="2640" w:type="dxa"/>
            <w:vAlign w:val="bottom"/>
            <w:shd w:val="clear" w:color="auto" w:fill="D0DBEF"/>
          </w:tcPr>
          <w:p>
            <w:pPr>
              <w:ind w:left="20"/>
              <w:spacing w:after="0"/>
              <w:rPr>
                <w:sz w:val="20"/>
                <w:szCs w:val="20"/>
                <w:color w:val="auto"/>
              </w:rPr>
            </w:pPr>
            <w:r>
              <w:rPr>
                <w:rFonts w:ascii="Arial" w:cs="Arial" w:eastAsia="Arial" w:hAnsi="Arial"/>
                <w:sz w:val="13"/>
                <w:szCs w:val="13"/>
                <w:color w:val="auto"/>
              </w:rPr>
              <w:t>Robert E. Landry</w:t>
            </w:r>
          </w:p>
        </w:tc>
        <w:tc>
          <w:tcPr>
            <w:tcW w:w="3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1,440,000</w:t>
            </w:r>
          </w:p>
        </w:tc>
        <w:tc>
          <w:tcPr>
            <w:tcW w:w="22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111,338</w:t>
            </w:r>
          </w:p>
        </w:tc>
        <w:tc>
          <w:tcPr>
            <w:tcW w:w="18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17,173,005</w:t>
            </w:r>
          </w:p>
        </w:tc>
        <w:tc>
          <w:tcPr>
            <w:tcW w:w="82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18,724,343</w:t>
            </w:r>
          </w:p>
        </w:tc>
      </w:tr>
      <w:tr>
        <w:trPr>
          <w:trHeight w:val="152"/>
        </w:trPr>
        <w:tc>
          <w:tcPr>
            <w:tcW w:w="2640" w:type="dxa"/>
            <w:vAlign w:val="bottom"/>
            <w:shd w:val="clear" w:color="auto" w:fill="E6ECF8"/>
          </w:tcPr>
          <w:p>
            <w:pPr>
              <w:ind w:left="20"/>
              <w:spacing w:after="0"/>
              <w:rPr>
                <w:sz w:val="20"/>
                <w:szCs w:val="20"/>
                <w:color w:val="auto"/>
              </w:rPr>
            </w:pPr>
            <w:r>
              <w:rPr>
                <w:rFonts w:ascii="Arial" w:cs="Arial" w:eastAsia="Arial" w:hAnsi="Arial"/>
                <w:sz w:val="13"/>
                <w:szCs w:val="13"/>
                <w:color w:val="auto"/>
              </w:rPr>
              <w:t>Neil Stahl, Ph.D.</w:t>
            </w:r>
          </w:p>
        </w:tc>
        <w:tc>
          <w:tcPr>
            <w:tcW w:w="3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1,961,570</w:t>
            </w:r>
          </w:p>
        </w:tc>
        <w:tc>
          <w:tcPr>
            <w:tcW w:w="22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53,425</w:t>
            </w:r>
          </w:p>
        </w:tc>
        <w:tc>
          <w:tcPr>
            <w:tcW w:w="18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31,844,172</w:t>
            </w:r>
          </w:p>
        </w:tc>
        <w:tc>
          <w:tcPr>
            <w:tcW w:w="82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33,859,167</w:t>
            </w:r>
          </w:p>
        </w:tc>
      </w:tr>
      <w:tr>
        <w:trPr>
          <w:trHeight w:val="152"/>
        </w:trPr>
        <w:tc>
          <w:tcPr>
            <w:tcW w:w="2640" w:type="dxa"/>
            <w:vAlign w:val="bottom"/>
            <w:tcBorders>
              <w:bottom w:val="single" w:sz="8" w:color="5668B0"/>
            </w:tcBorders>
            <w:shd w:val="clear" w:color="auto" w:fill="D0DBEF"/>
          </w:tcPr>
          <w:p>
            <w:pPr>
              <w:ind w:left="20"/>
              <w:spacing w:after="0"/>
              <w:rPr>
                <w:sz w:val="20"/>
                <w:szCs w:val="20"/>
                <w:color w:val="auto"/>
              </w:rPr>
            </w:pPr>
            <w:r>
              <w:rPr>
                <w:rFonts w:ascii="Arial" w:cs="Arial" w:eastAsia="Arial" w:hAnsi="Arial"/>
                <w:sz w:val="13"/>
                <w:szCs w:val="13"/>
                <w:color w:val="auto"/>
              </w:rPr>
              <w:t>Robert J. Terifay</w:t>
            </w:r>
          </w:p>
        </w:tc>
        <w:tc>
          <w:tcPr>
            <w:tcW w:w="34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668B0"/>
            </w:tcBorders>
            <w:shd w:val="clear" w:color="auto" w:fill="D0DBEF"/>
          </w:tcPr>
          <w:p>
            <w:pPr>
              <w:jc w:val="right"/>
              <w:ind w:right="53"/>
              <w:spacing w:after="0"/>
              <w:rPr>
                <w:sz w:val="20"/>
                <w:szCs w:val="20"/>
                <w:color w:val="auto"/>
              </w:rPr>
            </w:pPr>
            <w:r>
              <w:rPr>
                <w:rFonts w:ascii="Arial" w:cs="Arial" w:eastAsia="Arial" w:hAnsi="Arial"/>
                <w:sz w:val="13"/>
                <w:szCs w:val="13"/>
                <w:color w:val="auto"/>
              </w:rPr>
              <w:t>1,833,191</w:t>
            </w:r>
          </w:p>
        </w:tc>
        <w:tc>
          <w:tcPr>
            <w:tcW w:w="22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668B0"/>
            </w:tcBorders>
            <w:shd w:val="clear" w:color="auto" w:fill="D0DBEF"/>
          </w:tcPr>
          <w:p>
            <w:pPr>
              <w:jc w:val="right"/>
              <w:ind w:right="53"/>
              <w:spacing w:after="0"/>
              <w:rPr>
                <w:sz w:val="20"/>
                <w:szCs w:val="20"/>
                <w:color w:val="auto"/>
              </w:rPr>
            </w:pPr>
            <w:r>
              <w:rPr>
                <w:rFonts w:ascii="Arial" w:cs="Arial" w:eastAsia="Arial" w:hAnsi="Arial"/>
                <w:sz w:val="13"/>
                <w:szCs w:val="13"/>
                <w:color w:val="auto"/>
              </w:rPr>
              <w:t>53,416</w:t>
            </w:r>
          </w:p>
        </w:tc>
        <w:tc>
          <w:tcPr>
            <w:tcW w:w="18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5668B0"/>
            </w:tcBorders>
            <w:shd w:val="clear" w:color="auto" w:fill="D0DBEF"/>
          </w:tcPr>
          <w:p>
            <w:pPr>
              <w:jc w:val="right"/>
              <w:ind w:right="93"/>
              <w:spacing w:after="0"/>
              <w:rPr>
                <w:sz w:val="20"/>
                <w:szCs w:val="20"/>
                <w:color w:val="auto"/>
              </w:rPr>
            </w:pPr>
            <w:r>
              <w:rPr>
                <w:rFonts w:ascii="Arial" w:cs="Arial" w:eastAsia="Arial" w:hAnsi="Arial"/>
                <w:sz w:val="13"/>
                <w:szCs w:val="13"/>
                <w:color w:val="auto"/>
              </w:rPr>
              <w:t>17,927,425</w:t>
            </w:r>
          </w:p>
        </w:tc>
        <w:tc>
          <w:tcPr>
            <w:tcW w:w="820" w:type="dxa"/>
            <w:vAlign w:val="bottom"/>
            <w:tcBorders>
              <w:bottom w:val="single" w:sz="8" w:color="5668B0"/>
            </w:tcBorders>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5668B0"/>
            </w:tcBorders>
            <w:shd w:val="clear" w:color="auto" w:fill="D0DBE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3"/>
                <w:szCs w:val="13"/>
                <w:color w:val="auto"/>
              </w:rPr>
              <w:t>19,814,032</w:t>
            </w:r>
          </w:p>
        </w:tc>
      </w:tr>
    </w:tbl>
    <w:p>
      <w:pPr>
        <w:spacing w:after="0" w:line="207" w:lineRule="exact"/>
        <w:rPr>
          <w:sz w:val="20"/>
          <w:szCs w:val="20"/>
          <w:color w:val="auto"/>
        </w:rPr>
      </w:pPr>
    </w:p>
    <w:p>
      <w:pPr>
        <w:jc w:val="both"/>
        <w:ind w:left="500" w:hanging="499"/>
        <w:spacing w:after="0" w:line="211" w:lineRule="auto"/>
        <w:tabs>
          <w:tab w:leader="none" w:pos="500" w:val="left"/>
        </w:tabs>
        <w:numPr>
          <w:ilvl w:val="0"/>
          <w:numId w:val="124"/>
        </w:numPr>
        <w:rPr>
          <w:rFonts w:ascii="Arial" w:cs="Arial" w:eastAsia="Arial" w:hAnsi="Arial"/>
          <w:sz w:val="20"/>
          <w:szCs w:val="20"/>
          <w:b w:val="1"/>
          <w:bCs w:val="1"/>
          <w:color w:val="5668B0"/>
          <w:vertAlign w:val="superscript"/>
        </w:rPr>
      </w:pPr>
      <w:r>
        <w:rPr>
          <w:rFonts w:ascii="Arial" w:cs="Arial" w:eastAsia="Arial" w:hAnsi="Arial"/>
          <w:sz w:val="13"/>
          <w:szCs w:val="13"/>
          <w:color w:val="auto"/>
        </w:rPr>
        <w:t>Equal to two times the sum of (a) the Named Officer's 2015 base salary and (b) the average annual bonus paid to the Named Officer (other than Mr. Landry) over the prior three years. In the case of Mr. Landry (who joined the Company in September 2013), we averaged his 2013 and 2014 annual bonus amounts of $0 and $405,000, respectively, and took into account that he did not receive a bonus in respect of his performance in 2013.</w:t>
      </w:r>
    </w:p>
    <w:p>
      <w:pPr>
        <w:spacing w:after="0" w:line="193" w:lineRule="exact"/>
        <w:rPr>
          <w:sz w:val="20"/>
          <w:szCs w:val="20"/>
          <w:color w:val="auto"/>
        </w:rPr>
      </w:pPr>
    </w:p>
    <w:p>
      <w:pPr>
        <w:ind w:left="500" w:hanging="499"/>
        <w:spacing w:after="0" w:line="198" w:lineRule="auto"/>
        <w:tabs>
          <w:tab w:leader="none" w:pos="500" w:val="left"/>
        </w:tabs>
        <w:numPr>
          <w:ilvl w:val="0"/>
          <w:numId w:val="125"/>
        </w:numPr>
        <w:rPr>
          <w:rFonts w:ascii="Arial" w:cs="Arial" w:eastAsia="Arial" w:hAnsi="Arial"/>
          <w:sz w:val="20"/>
          <w:szCs w:val="20"/>
          <w:b w:val="1"/>
          <w:bCs w:val="1"/>
          <w:color w:val="5668B0"/>
          <w:vertAlign w:val="superscript"/>
        </w:rPr>
      </w:pPr>
      <w:r>
        <w:rPr>
          <w:rFonts w:ascii="Arial" w:cs="Arial" w:eastAsia="Arial" w:hAnsi="Arial"/>
          <w:sz w:val="13"/>
          <w:szCs w:val="13"/>
          <w:color w:val="auto"/>
        </w:rPr>
        <w:t>Equal to the estimated cost of providing each Named Officer and his dependents medical, dental, vision, disability, and life insurance coverage for twenty-four months, plus the estimated cost of providing each Named Officer tax and financial planning advisory services for twenty-four months.</w:t>
      </w:r>
    </w:p>
    <w:p>
      <w:pPr>
        <w:spacing w:after="0" w:line="193" w:lineRule="exact"/>
        <w:rPr>
          <w:sz w:val="20"/>
          <w:szCs w:val="20"/>
          <w:color w:val="auto"/>
        </w:rPr>
      </w:pPr>
    </w:p>
    <w:p>
      <w:pPr>
        <w:jc w:val="both"/>
        <w:ind w:left="500" w:hanging="499"/>
        <w:spacing w:after="0" w:line="211" w:lineRule="auto"/>
        <w:tabs>
          <w:tab w:leader="none" w:pos="500" w:val="left"/>
        </w:tabs>
        <w:numPr>
          <w:ilvl w:val="0"/>
          <w:numId w:val="126"/>
        </w:numPr>
        <w:rPr>
          <w:rFonts w:ascii="Arial" w:cs="Arial" w:eastAsia="Arial" w:hAnsi="Arial"/>
          <w:sz w:val="20"/>
          <w:szCs w:val="20"/>
          <w:b w:val="1"/>
          <w:bCs w:val="1"/>
          <w:color w:val="5668B0"/>
          <w:vertAlign w:val="superscript"/>
        </w:rPr>
      </w:pPr>
      <w:r>
        <w:rPr>
          <w:rFonts w:ascii="Arial" w:cs="Arial" w:eastAsia="Arial" w:hAnsi="Arial"/>
          <w:sz w:val="13"/>
          <w:szCs w:val="13"/>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31, 2015 of $542.87. The amounts also include the value as of December 31, 2015 of unvested restricted stock.</w:t>
      </w:r>
    </w:p>
    <w:p>
      <w:pPr>
        <w:spacing w:after="0" w:line="193" w:lineRule="exact"/>
        <w:rPr>
          <w:sz w:val="20"/>
          <w:szCs w:val="20"/>
          <w:color w:val="auto"/>
        </w:rPr>
      </w:pPr>
    </w:p>
    <w:p>
      <w:pPr>
        <w:jc w:val="both"/>
        <w:ind w:left="500" w:hanging="499"/>
        <w:spacing w:after="0" w:line="211" w:lineRule="auto"/>
        <w:tabs>
          <w:tab w:leader="none" w:pos="500" w:val="left"/>
        </w:tabs>
        <w:numPr>
          <w:ilvl w:val="0"/>
          <w:numId w:val="127"/>
        </w:numPr>
        <w:rPr>
          <w:rFonts w:ascii="Arial" w:cs="Arial" w:eastAsia="Arial" w:hAnsi="Arial"/>
          <w:sz w:val="20"/>
          <w:szCs w:val="20"/>
          <w:b w:val="1"/>
          <w:bCs w:val="1"/>
          <w:color w:val="5668B0"/>
          <w:vertAlign w:val="superscript"/>
        </w:rPr>
      </w:pPr>
      <w:r>
        <w:rPr>
          <w:rFonts w:ascii="Arial" w:cs="Arial" w:eastAsia="Arial" w:hAnsi="Arial"/>
          <w:sz w:val="13"/>
          <w:szCs w:val="13"/>
          <w:color w:val="auto"/>
        </w:rPr>
        <w:t>In accordance with the terms of the change in control severance plan, the total amount for Mr. Landry has not been "cut back" as he would be in a more favorable net after-tax position without any such reduction. None of the other Named Officers listed in the table above would have been expected to receive severance payments in excess of his applicable "golden parachute" safe harbor amount.</w:t>
      </w:r>
    </w:p>
    <w:p>
      <w:pPr>
        <w:spacing w:after="0" w:line="193" w:lineRule="exact"/>
        <w:rPr>
          <w:sz w:val="20"/>
          <w:szCs w:val="20"/>
          <w:color w:val="auto"/>
        </w:rPr>
      </w:pPr>
    </w:p>
    <w:p>
      <w:pPr>
        <w:jc w:val="both"/>
        <w:ind w:left="500" w:hanging="499"/>
        <w:spacing w:after="0" w:line="234" w:lineRule="auto"/>
        <w:tabs>
          <w:tab w:leader="none" w:pos="500" w:val="left"/>
        </w:tabs>
        <w:numPr>
          <w:ilvl w:val="0"/>
          <w:numId w:val="128"/>
        </w:numPr>
        <w:rPr>
          <w:rFonts w:ascii="Arial" w:cs="Arial" w:eastAsia="Arial" w:hAnsi="Arial"/>
          <w:sz w:val="20"/>
          <w:szCs w:val="20"/>
          <w:b w:val="1"/>
          <w:bCs w:val="1"/>
          <w:color w:val="5668B0"/>
          <w:vertAlign w:val="superscript"/>
        </w:rPr>
      </w:pPr>
      <w:r>
        <w:rPr>
          <w:rFonts w:ascii="Arial" w:cs="Arial" w:eastAsia="Arial" w:hAnsi="Arial"/>
          <w:sz w:val="13"/>
          <w:szCs w:val="13"/>
          <w:color w:val="auto"/>
        </w:rPr>
        <w:t>For purposes of these calculations, (i) we used base salaries as of December 31, 2015 and annual bonuses paid to the Named Officers (other than Mr. Landry) for performance in 2012, 2013, and 2014, respectively; in the case of Mr. Landry (who joined the Company in September 2013), we averaged his 2013 and 2014 annual bonus amounts of $0 and $405,000, respectively, and took into account that he did not receive a bonus in respect of his performance in 2013; (ii) we assumed that each Named Officer received his annual bonus that was earned in 2015 and paid in 2016 (described in the Summary Compensation Table on page 61); (iii) we took into consideration, for purposes of determining whether each Named Officer was subject to a reduction under the terms of the change in control severance plan, the fact that each Named Officer's stock options vest following an involuntary termination without Cause or termination for Good Reason following a change in control (parachute payments for time vesting stock options and restricted stock were valued using Internal Revenue Code Treas. Reg. Section 1.28G-1 Q&amp;A 24(c)); (iv) we assumed an 8% annual increase in medical premiums, 5% annual increase in dental premiums, 4% increase in vision premiums, and no increase in disability or life insurance premiums or employer cost of tax and financial planning advisory services for 2016 and 2017; (v) we assumed that the medical insurance benefits received in 2016 and 2017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 Section 409A of the Internal Revenue Code, we did not attempt to determine which, if any, payments would be delayed.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69</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color w:val="4561FF"/>
        </w:rPr>
        <w:t>Additional Equity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2555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5668B0"/>
        </w:rPr>
        <w:t>Corporate Governance Aspects of the Regeneron Pharmaceuticals, Inc. 2014 Long-Term Incentive Plan</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Regeneron Pharmaceuticals, Inc. 2014 Long-Term Incentive Plan (referred to in this subsection as the "Plan") is the only plan currently used by the Company to grant equity awards. It has been designed to include a number of provisions that promote best practices by reinforcing the 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between equity compensation arrangements for eligible employees and non-employee directors, on the one hand, and shareholders' interests, on the other hand. These provisions include:</w:t>
      </w:r>
    </w:p>
    <w:p>
      <w:pPr>
        <w:spacing w:after="0" w:line="575" w:lineRule="exact"/>
        <w:rPr>
          <w:sz w:val="20"/>
          <w:szCs w:val="20"/>
          <w:color w:val="auto"/>
        </w:rPr>
      </w:pPr>
    </w:p>
    <w:p>
      <w:pPr>
        <w:sectPr>
          <w:pgSz w:w="11900" w:h="16838" w:orient="portrait"/>
          <w:cols w:equalWidth="0" w:num="2">
            <w:col w:w="5380" w:space="680"/>
            <w:col w:w="5360"/>
          </w:cols>
          <w:pgMar w:left="240" w:top="108"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4560" w:type="dxa"/>
            <w:vAlign w:val="bottom"/>
            <w:shd w:val="clear" w:color="auto" w:fill="5668B0"/>
          </w:tcPr>
          <w:p>
            <w:pPr>
              <w:spacing w:after="0"/>
              <w:rPr>
                <w:sz w:val="20"/>
                <w:szCs w:val="20"/>
                <w:color w:val="auto"/>
              </w:rPr>
            </w:pPr>
            <w:r>
              <w:rPr>
                <w:rFonts w:ascii="Arial" w:cs="Arial" w:eastAsia="Arial" w:hAnsi="Arial"/>
                <w:sz w:val="13"/>
                <w:szCs w:val="13"/>
                <w:color w:val="FFFFFE"/>
              </w:rPr>
              <w:t>Provision</w:t>
            </w:r>
          </w:p>
        </w:tc>
        <w:tc>
          <w:tcPr>
            <w:tcW w:w="6860" w:type="dxa"/>
            <w:vAlign w:val="bottom"/>
            <w:shd w:val="clear" w:color="auto" w:fill="5668B0"/>
          </w:tcPr>
          <w:p>
            <w:pPr>
              <w:ind w:left="1620"/>
              <w:spacing w:after="0"/>
              <w:rPr>
                <w:sz w:val="20"/>
                <w:szCs w:val="20"/>
                <w:color w:val="auto"/>
              </w:rPr>
            </w:pPr>
            <w:r>
              <w:rPr>
                <w:rFonts w:ascii="Arial" w:cs="Arial" w:eastAsia="Arial" w:hAnsi="Arial"/>
                <w:sz w:val="13"/>
                <w:szCs w:val="13"/>
                <w:color w:val="FFFFFE"/>
              </w:rPr>
              <w:t>Description</w:t>
            </w:r>
          </w:p>
        </w:tc>
      </w:tr>
      <w:tr>
        <w:trPr>
          <w:trHeight w:val="137"/>
        </w:trPr>
        <w:tc>
          <w:tcPr>
            <w:tcW w:w="4560" w:type="dxa"/>
            <w:vAlign w:val="bottom"/>
            <w:shd w:val="clear" w:color="auto" w:fill="5668B0"/>
          </w:tcPr>
          <w:p>
            <w:pPr>
              <w:spacing w:after="0"/>
              <w:rPr>
                <w:sz w:val="11"/>
                <w:szCs w:val="11"/>
                <w:color w:val="auto"/>
              </w:rPr>
            </w:pPr>
          </w:p>
        </w:tc>
        <w:tc>
          <w:tcPr>
            <w:tcW w:w="6860" w:type="dxa"/>
            <w:vAlign w:val="bottom"/>
            <w:shd w:val="clear" w:color="auto" w:fill="5668B0"/>
          </w:tcPr>
          <w:p>
            <w:pPr>
              <w:spacing w:after="0"/>
              <w:rPr>
                <w:sz w:val="11"/>
                <w:szCs w:val="11"/>
                <w:color w:val="auto"/>
              </w:rPr>
            </w:pP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No Discounted Stock Options</w:t>
            </w: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Stock options are not granted with an exercise price less than the fair</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market value of common stock (as defined in the Plan) on the date of</w:t>
            </w:r>
          </w:p>
        </w:tc>
      </w:tr>
      <w:tr>
        <w:trPr>
          <w:trHeight w:val="187"/>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grant.</w:t>
            </w: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No Stock Option Re-pricing or Exchange</w:t>
            </w: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Except for equitable adjustments in connection with specific corporate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transactions (such as stock splits, recapitalizations, reorganizations,</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mergers, consolidations, and similar transactions), the Plan does not</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permit a decrease in the exercise price of a stock option granted under</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the Plan through settlement, cancellation, forfeiture, exchange,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surrender, or otherwise below the fair market value of common stock</w:t>
            </w:r>
          </w:p>
        </w:tc>
      </w:tr>
      <w:tr>
        <w:trPr>
          <w:trHeight w:val="187"/>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(as defined in the Plan) on the date of grant.</w:t>
            </w: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Minimum Vesting Requirements</w:t>
            </w: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If the vesting condition for any equity award (other than an option or a</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stock appreciation right) made to an employee is based solely upon</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continued employment, the regular vesting may not be more favorable</w:t>
            </w:r>
          </w:p>
        </w:tc>
      </w:tr>
      <w:tr>
        <w:trPr>
          <w:trHeight w:val="197"/>
        </w:trPr>
        <w:tc>
          <w:tcPr>
            <w:tcW w:w="4560" w:type="dxa"/>
            <w:vAlign w:val="bottom"/>
            <w:shd w:val="clear" w:color="auto" w:fill="E6ECF8"/>
          </w:tcPr>
          <w:p>
            <w:pPr>
              <w:spacing w:after="0"/>
              <w:rPr>
                <w:sz w:val="17"/>
                <w:szCs w:val="17"/>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to the employee than in equal annual increments over 36 months.</w:t>
            </w:r>
          </w:p>
        </w:tc>
      </w:tr>
      <w:tr>
        <w:trPr>
          <w:trHeight w:val="347"/>
        </w:trPr>
        <w:tc>
          <w:tcPr>
            <w:tcW w:w="4560" w:type="dxa"/>
            <w:vAlign w:val="bottom"/>
            <w:shd w:val="clear" w:color="auto" w:fill="E6ECF8"/>
          </w:tcPr>
          <w:p>
            <w:pPr>
              <w:spacing w:after="0"/>
              <w:rPr>
                <w:sz w:val="24"/>
                <w:szCs w:val="24"/>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If the vesting condition for any equity award (other than an option or a</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stock appreciation right) made to an employee is based upon the</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attainment of specified performance measures, the regular performance</w:t>
            </w:r>
          </w:p>
        </w:tc>
      </w:tr>
      <w:tr>
        <w:trPr>
          <w:trHeight w:val="197"/>
        </w:trPr>
        <w:tc>
          <w:tcPr>
            <w:tcW w:w="4560" w:type="dxa"/>
            <w:vAlign w:val="bottom"/>
            <w:shd w:val="clear" w:color="auto" w:fill="E6ECF8"/>
          </w:tcPr>
          <w:p>
            <w:pPr>
              <w:spacing w:after="0"/>
              <w:rPr>
                <w:sz w:val="17"/>
                <w:szCs w:val="17"/>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vesting period may not be less than one year.</w:t>
            </w:r>
          </w:p>
        </w:tc>
      </w:tr>
      <w:tr>
        <w:trPr>
          <w:trHeight w:val="385"/>
        </w:trPr>
        <w:tc>
          <w:tcPr>
            <w:tcW w:w="4560" w:type="dxa"/>
            <w:vAlign w:val="bottom"/>
            <w:shd w:val="clear" w:color="auto" w:fill="E6ECF8"/>
          </w:tcPr>
          <w:p>
            <w:pPr>
              <w:spacing w:after="0"/>
              <w:rPr>
                <w:sz w:val="24"/>
                <w:szCs w:val="24"/>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The Compensation Committee's discretion to deviate from the minimum</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vesting requirements described above is limited to accelerated vesting</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upon a change of control or upon a termination of the employee's</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employment and with respect to grants not in excess of 1,000,000</w:t>
            </w:r>
          </w:p>
        </w:tc>
      </w:tr>
      <w:tr>
        <w:trPr>
          <w:trHeight w:val="187"/>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shares in the aggregate under the Plan.</w:t>
            </w: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Recoupment Policy</w:t>
            </w: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Awards granted to our officers and other specified employees under the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Plan are subject to recoupment or reduction in accordance with the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terms of our policy regarding recoupment or reduction of incentive</w:t>
            </w:r>
          </w:p>
        </w:tc>
      </w:tr>
      <w:tr>
        <w:trPr>
          <w:trHeight w:val="187"/>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compensation.</w:t>
            </w: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Independent Administration</w:t>
            </w: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The Plan is administered by the Compensation Committee, which is</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intended to be comprised solely of non-employee directors each of</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whom meets the additional independence criteria applicable to</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compensation committee members under the listing standards of The</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NASDAQ Stock Market LLC, qualifies as a "Non-Employee Director"</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pursuant to Rule 16b-3 under the Exchange Act, and meets the</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requirements for an "outside director" within the meaning of</w:t>
            </w:r>
          </w:p>
        </w:tc>
      </w:tr>
      <w:tr>
        <w:trPr>
          <w:trHeight w:val="187"/>
        </w:trPr>
        <w:tc>
          <w:tcPr>
            <w:tcW w:w="4560" w:type="dxa"/>
            <w:vAlign w:val="bottom"/>
            <w:shd w:val="clear" w:color="auto" w:fill="E6ECF8"/>
          </w:tcPr>
          <w:p>
            <w:pPr>
              <w:spacing w:after="0"/>
              <w:rPr>
                <w:sz w:val="16"/>
                <w:szCs w:val="16"/>
                <w:color w:val="auto"/>
              </w:rPr>
            </w:pP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Section 162(m) of the Internal Revenue Code.</w:t>
            </w: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No "Evergreen" Provision</w:t>
            </w: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The Plan does not contain an "evergreen" feature pursuant to which the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shares authorized for issuance thereunder can be automatically</w:t>
            </w:r>
          </w:p>
        </w:tc>
      </w:tr>
      <w:tr>
        <w:trPr>
          <w:trHeight w:val="187"/>
        </w:trPr>
        <w:tc>
          <w:tcPr>
            <w:tcW w:w="4560" w:type="dxa"/>
            <w:vAlign w:val="bottom"/>
            <w:shd w:val="clear" w:color="auto" w:fill="D0DBEF"/>
          </w:tcPr>
          <w:p>
            <w:pPr>
              <w:spacing w:after="0"/>
              <w:rPr>
                <w:sz w:val="16"/>
                <w:szCs w:val="16"/>
                <w:color w:val="auto"/>
              </w:rPr>
            </w:pPr>
          </w:p>
        </w:tc>
        <w:tc>
          <w:tcPr>
            <w:tcW w:w="6860" w:type="dxa"/>
            <w:vAlign w:val="bottom"/>
            <w:shd w:val="clear" w:color="auto" w:fill="D0DBEF"/>
          </w:tcPr>
          <w:p>
            <w:pPr>
              <w:ind w:left="1620"/>
              <w:spacing w:after="0"/>
              <w:rPr>
                <w:sz w:val="20"/>
                <w:szCs w:val="20"/>
                <w:color w:val="auto"/>
              </w:rPr>
            </w:pPr>
            <w:r>
              <w:rPr>
                <w:rFonts w:ascii="Arial" w:cs="Arial" w:eastAsia="Arial" w:hAnsi="Arial"/>
                <w:sz w:val="16"/>
                <w:szCs w:val="16"/>
                <w:color w:val="auto"/>
              </w:rPr>
              <w:t>replenished.</w:t>
            </w:r>
          </w:p>
        </w:tc>
      </w:tr>
      <w:tr>
        <w:trPr>
          <w:trHeight w:val="190"/>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No Tax Gross-ups</w:t>
            </w:r>
          </w:p>
        </w:tc>
        <w:tc>
          <w:tcPr>
            <w:tcW w:w="6860" w:type="dxa"/>
            <w:vAlign w:val="bottom"/>
            <w:shd w:val="clear" w:color="auto" w:fill="E6ECF8"/>
          </w:tcPr>
          <w:p>
            <w:pPr>
              <w:ind w:left="1620"/>
              <w:spacing w:after="0"/>
              <w:rPr>
                <w:sz w:val="20"/>
                <w:szCs w:val="20"/>
                <w:color w:val="auto"/>
              </w:rPr>
            </w:pPr>
            <w:r>
              <w:rPr>
                <w:rFonts w:ascii="Arial" w:cs="Arial" w:eastAsia="Arial" w:hAnsi="Arial"/>
                <w:sz w:val="16"/>
                <w:szCs w:val="16"/>
                <w:color w:val="auto"/>
              </w:rPr>
              <w:t>The Plan does not provide for any tax gross-ups.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642620" cy="1930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128270</wp:posOffset>
            </wp:positionV>
            <wp:extent cx="8255" cy="1930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91" w:lineRule="exact"/>
        <w:rPr>
          <w:sz w:val="20"/>
          <w:szCs w:val="20"/>
          <w:color w:val="auto"/>
        </w:rPr>
      </w:pPr>
    </w:p>
    <w:p>
      <w:pPr>
        <w:ind w:left="1160" w:hanging="744"/>
        <w:spacing w:after="0"/>
        <w:tabs>
          <w:tab w:leader="none" w:pos="1160" w:val="left"/>
        </w:tabs>
        <w:numPr>
          <w:ilvl w:val="0"/>
          <w:numId w:val="12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color w:val="5668B0"/>
        </w:rPr>
        <w:t>Equity Compensation Plan Information</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shows information with respect to securities authorized for issuance under the equity compensation plans maintained by the Company as of December 31,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20" w:type="dxa"/>
            <w:vAlign w:val="bottom"/>
            <w:shd w:val="clear" w:color="auto" w:fill="5668B0"/>
          </w:tcPr>
          <w:p>
            <w:pPr>
              <w:spacing w:after="0"/>
              <w:rPr>
                <w:sz w:val="24"/>
                <w:szCs w:val="24"/>
                <w:color w:val="auto"/>
              </w:rPr>
            </w:pPr>
          </w:p>
        </w:tc>
        <w:tc>
          <w:tcPr>
            <w:tcW w:w="5300" w:type="dxa"/>
            <w:vAlign w:val="bottom"/>
            <w:shd w:val="clear" w:color="auto" w:fill="5668B0"/>
          </w:tcPr>
          <w:p>
            <w:pPr>
              <w:spacing w:after="0"/>
              <w:rPr>
                <w:sz w:val="24"/>
                <w:szCs w:val="24"/>
                <w:color w:val="auto"/>
              </w:rPr>
            </w:pPr>
          </w:p>
        </w:tc>
        <w:tc>
          <w:tcPr>
            <w:tcW w:w="400" w:type="dxa"/>
            <w:vAlign w:val="bottom"/>
            <w:shd w:val="clear" w:color="auto" w:fill="5668B0"/>
          </w:tcPr>
          <w:p>
            <w:pPr>
              <w:spacing w:after="0"/>
              <w:rPr>
                <w:sz w:val="24"/>
                <w:szCs w:val="24"/>
                <w:color w:val="auto"/>
              </w:rPr>
            </w:pPr>
          </w:p>
        </w:tc>
        <w:tc>
          <w:tcPr>
            <w:tcW w:w="158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(a)</w:t>
            </w:r>
          </w:p>
        </w:tc>
        <w:tc>
          <w:tcPr>
            <w:tcW w:w="80" w:type="dxa"/>
            <w:vAlign w:val="bottom"/>
            <w:tcBorders>
              <w:right w:val="single" w:sz="8" w:color="5668B0"/>
            </w:tcBorders>
            <w:shd w:val="clear" w:color="auto" w:fill="5668B0"/>
          </w:tcPr>
          <w:p>
            <w:pPr>
              <w:spacing w:after="0"/>
              <w:rPr>
                <w:sz w:val="24"/>
                <w:szCs w:val="24"/>
                <w:color w:val="auto"/>
              </w:rPr>
            </w:pPr>
          </w:p>
        </w:tc>
        <w:tc>
          <w:tcPr>
            <w:tcW w:w="600" w:type="dxa"/>
            <w:vAlign w:val="bottom"/>
            <w:shd w:val="clear" w:color="auto" w:fill="5668B0"/>
          </w:tcPr>
          <w:p>
            <w:pPr>
              <w:spacing w:after="0"/>
              <w:rPr>
                <w:sz w:val="24"/>
                <w:szCs w:val="24"/>
                <w:color w:val="auto"/>
              </w:rPr>
            </w:pPr>
          </w:p>
        </w:tc>
        <w:tc>
          <w:tcPr>
            <w:tcW w:w="1080" w:type="dxa"/>
            <w:vAlign w:val="bottom"/>
            <w:shd w:val="clear" w:color="auto" w:fill="5668B0"/>
          </w:tcPr>
          <w:p>
            <w:pPr>
              <w:jc w:val="right"/>
              <w:ind w:right="143"/>
              <w:spacing w:after="0"/>
              <w:rPr>
                <w:sz w:val="20"/>
                <w:szCs w:val="20"/>
                <w:color w:val="auto"/>
              </w:rPr>
            </w:pPr>
            <w:r>
              <w:rPr>
                <w:rFonts w:ascii="Arial" w:cs="Arial" w:eastAsia="Arial" w:hAnsi="Arial"/>
                <w:sz w:val="13"/>
                <w:szCs w:val="13"/>
                <w:color w:val="FFFFFE"/>
              </w:rPr>
              <w:t>(b)</w:t>
            </w:r>
          </w:p>
        </w:tc>
        <w:tc>
          <w:tcPr>
            <w:tcW w:w="840" w:type="dxa"/>
            <w:vAlign w:val="bottom"/>
            <w:shd w:val="clear" w:color="auto" w:fill="5668B0"/>
          </w:tcPr>
          <w:p>
            <w:pPr>
              <w:spacing w:after="0"/>
              <w:rPr>
                <w:sz w:val="24"/>
                <w:szCs w:val="24"/>
                <w:color w:val="auto"/>
              </w:rPr>
            </w:pPr>
          </w:p>
        </w:tc>
        <w:tc>
          <w:tcPr>
            <w:tcW w:w="120" w:type="dxa"/>
            <w:vAlign w:val="bottom"/>
            <w:shd w:val="clear" w:color="auto" w:fill="5668B0"/>
          </w:tcPr>
          <w:p>
            <w:pPr>
              <w:spacing w:after="0"/>
              <w:rPr>
                <w:sz w:val="24"/>
                <w:szCs w:val="24"/>
                <w:color w:val="auto"/>
              </w:rPr>
            </w:pPr>
          </w:p>
        </w:tc>
        <w:tc>
          <w:tcPr>
            <w:tcW w:w="100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(c)</w:t>
            </w:r>
          </w:p>
        </w:tc>
        <w:tc>
          <w:tcPr>
            <w:tcW w:w="0" w:type="dxa"/>
            <w:vAlign w:val="bottom"/>
          </w:tcPr>
          <w:p>
            <w:pPr>
              <w:spacing w:after="0"/>
              <w:rPr>
                <w:sz w:val="1"/>
                <w:szCs w:val="1"/>
                <w:color w:val="auto"/>
              </w:rPr>
            </w:pPr>
          </w:p>
        </w:tc>
      </w:tr>
      <w:tr>
        <w:trPr>
          <w:trHeight w:val="152"/>
        </w:trPr>
        <w:tc>
          <w:tcPr>
            <w:tcW w:w="420" w:type="dxa"/>
            <w:vAlign w:val="bottom"/>
            <w:shd w:val="clear" w:color="auto" w:fill="5668B0"/>
          </w:tcPr>
          <w:p>
            <w:pPr>
              <w:spacing w:after="0"/>
              <w:rPr>
                <w:sz w:val="13"/>
                <w:szCs w:val="13"/>
                <w:color w:val="auto"/>
              </w:rPr>
            </w:pPr>
          </w:p>
        </w:tc>
        <w:tc>
          <w:tcPr>
            <w:tcW w:w="5300" w:type="dxa"/>
            <w:vAlign w:val="bottom"/>
            <w:shd w:val="clear" w:color="auto" w:fill="5668B0"/>
          </w:tcPr>
          <w:p>
            <w:pPr>
              <w:spacing w:after="0"/>
              <w:rPr>
                <w:sz w:val="13"/>
                <w:szCs w:val="13"/>
                <w:color w:val="auto"/>
              </w:rPr>
            </w:pPr>
          </w:p>
        </w:tc>
        <w:tc>
          <w:tcPr>
            <w:tcW w:w="400" w:type="dxa"/>
            <w:vAlign w:val="bottom"/>
            <w:shd w:val="clear" w:color="auto" w:fill="5668B0"/>
          </w:tcPr>
          <w:p>
            <w:pPr>
              <w:spacing w:after="0"/>
              <w:rPr>
                <w:sz w:val="13"/>
                <w:szCs w:val="13"/>
                <w:color w:val="auto"/>
              </w:rPr>
            </w:pPr>
          </w:p>
        </w:tc>
        <w:tc>
          <w:tcPr>
            <w:tcW w:w="1580" w:type="dxa"/>
            <w:vAlign w:val="bottom"/>
            <w:shd w:val="clear" w:color="auto" w:fill="5668B0"/>
          </w:tcPr>
          <w:p>
            <w:pPr>
              <w:spacing w:after="0"/>
              <w:rPr>
                <w:sz w:val="13"/>
                <w:szCs w:val="13"/>
                <w:color w:val="auto"/>
              </w:rPr>
            </w:pPr>
          </w:p>
        </w:tc>
        <w:tc>
          <w:tcPr>
            <w:tcW w:w="80" w:type="dxa"/>
            <w:vAlign w:val="bottom"/>
            <w:tcBorders>
              <w:right w:val="single" w:sz="8" w:color="5668B0"/>
            </w:tcBorders>
            <w:shd w:val="clear" w:color="auto" w:fill="5668B0"/>
          </w:tcPr>
          <w:p>
            <w:pPr>
              <w:spacing w:after="0"/>
              <w:rPr>
                <w:sz w:val="13"/>
                <w:szCs w:val="13"/>
                <w:color w:val="auto"/>
              </w:rPr>
            </w:pPr>
          </w:p>
        </w:tc>
        <w:tc>
          <w:tcPr>
            <w:tcW w:w="600" w:type="dxa"/>
            <w:vAlign w:val="bottom"/>
            <w:shd w:val="clear" w:color="auto" w:fill="5668B0"/>
          </w:tcPr>
          <w:p>
            <w:pPr>
              <w:spacing w:after="0"/>
              <w:rPr>
                <w:sz w:val="13"/>
                <w:szCs w:val="13"/>
                <w:color w:val="auto"/>
              </w:rPr>
            </w:pPr>
          </w:p>
        </w:tc>
        <w:tc>
          <w:tcPr>
            <w:tcW w:w="1080" w:type="dxa"/>
            <w:vAlign w:val="bottom"/>
            <w:shd w:val="clear" w:color="auto" w:fill="5668B0"/>
          </w:tcPr>
          <w:p>
            <w:pPr>
              <w:spacing w:after="0"/>
              <w:rPr>
                <w:sz w:val="13"/>
                <w:szCs w:val="13"/>
                <w:color w:val="auto"/>
              </w:rPr>
            </w:pPr>
          </w:p>
        </w:tc>
        <w:tc>
          <w:tcPr>
            <w:tcW w:w="1960" w:type="dxa"/>
            <w:vAlign w:val="bottom"/>
            <w:gridSpan w:val="3"/>
            <w:shd w:val="clear" w:color="auto" w:fill="5668B0"/>
          </w:tcPr>
          <w:p>
            <w:pPr>
              <w:jc w:val="right"/>
              <w:spacing w:after="0"/>
              <w:rPr>
                <w:sz w:val="20"/>
                <w:szCs w:val="20"/>
                <w:color w:val="auto"/>
              </w:rPr>
            </w:pPr>
            <w:r>
              <w:rPr>
                <w:rFonts w:ascii="Arial" w:cs="Arial" w:eastAsia="Arial" w:hAnsi="Arial"/>
                <w:sz w:val="13"/>
                <w:szCs w:val="13"/>
                <w:color w:val="FFFFFE"/>
              </w:rPr>
              <w:t>Number of securities</w:t>
            </w:r>
          </w:p>
        </w:tc>
        <w:tc>
          <w:tcPr>
            <w:tcW w:w="0" w:type="dxa"/>
            <w:vAlign w:val="bottom"/>
          </w:tcPr>
          <w:p>
            <w:pPr>
              <w:spacing w:after="0"/>
              <w:rPr>
                <w:sz w:val="1"/>
                <w:szCs w:val="1"/>
                <w:color w:val="auto"/>
              </w:rPr>
            </w:pPr>
          </w:p>
        </w:tc>
      </w:tr>
      <w:tr>
        <w:trPr>
          <w:trHeight w:val="152"/>
        </w:trPr>
        <w:tc>
          <w:tcPr>
            <w:tcW w:w="420" w:type="dxa"/>
            <w:vAlign w:val="bottom"/>
            <w:shd w:val="clear" w:color="auto" w:fill="5668B0"/>
          </w:tcPr>
          <w:p>
            <w:pPr>
              <w:spacing w:after="0"/>
              <w:rPr>
                <w:sz w:val="13"/>
                <w:szCs w:val="13"/>
                <w:color w:val="auto"/>
              </w:rPr>
            </w:pPr>
          </w:p>
        </w:tc>
        <w:tc>
          <w:tcPr>
            <w:tcW w:w="5300" w:type="dxa"/>
            <w:vAlign w:val="bottom"/>
            <w:shd w:val="clear" w:color="auto" w:fill="5668B0"/>
          </w:tcPr>
          <w:p>
            <w:pPr>
              <w:spacing w:after="0"/>
              <w:rPr>
                <w:sz w:val="13"/>
                <w:szCs w:val="13"/>
                <w:color w:val="auto"/>
              </w:rPr>
            </w:pPr>
          </w:p>
        </w:tc>
        <w:tc>
          <w:tcPr>
            <w:tcW w:w="400" w:type="dxa"/>
            <w:vAlign w:val="bottom"/>
            <w:shd w:val="clear" w:color="auto" w:fill="5668B0"/>
          </w:tcPr>
          <w:p>
            <w:pPr>
              <w:spacing w:after="0"/>
              <w:rPr>
                <w:sz w:val="13"/>
                <w:szCs w:val="13"/>
                <w:color w:val="auto"/>
              </w:rPr>
            </w:pPr>
          </w:p>
        </w:tc>
        <w:tc>
          <w:tcPr>
            <w:tcW w:w="158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Number of securities</w:t>
            </w:r>
          </w:p>
        </w:tc>
        <w:tc>
          <w:tcPr>
            <w:tcW w:w="80" w:type="dxa"/>
            <w:vAlign w:val="bottom"/>
            <w:tcBorders>
              <w:right w:val="single" w:sz="8" w:color="5668B0"/>
            </w:tcBorders>
            <w:shd w:val="clear" w:color="auto" w:fill="5668B0"/>
          </w:tcPr>
          <w:p>
            <w:pPr>
              <w:spacing w:after="0"/>
              <w:rPr>
                <w:sz w:val="13"/>
                <w:szCs w:val="13"/>
                <w:color w:val="auto"/>
              </w:rPr>
            </w:pPr>
          </w:p>
        </w:tc>
        <w:tc>
          <w:tcPr>
            <w:tcW w:w="600" w:type="dxa"/>
            <w:vAlign w:val="bottom"/>
            <w:shd w:val="clear" w:color="auto" w:fill="5668B0"/>
          </w:tcPr>
          <w:p>
            <w:pPr>
              <w:spacing w:after="0"/>
              <w:rPr>
                <w:sz w:val="13"/>
                <w:szCs w:val="13"/>
                <w:color w:val="auto"/>
              </w:rPr>
            </w:pPr>
          </w:p>
        </w:tc>
        <w:tc>
          <w:tcPr>
            <w:tcW w:w="1080" w:type="dxa"/>
            <w:vAlign w:val="bottom"/>
            <w:shd w:val="clear" w:color="auto" w:fill="5668B0"/>
          </w:tcPr>
          <w:p>
            <w:pPr>
              <w:spacing w:after="0"/>
              <w:rPr>
                <w:sz w:val="13"/>
                <w:szCs w:val="13"/>
                <w:color w:val="auto"/>
              </w:rPr>
            </w:pPr>
          </w:p>
        </w:tc>
        <w:tc>
          <w:tcPr>
            <w:tcW w:w="1960" w:type="dxa"/>
            <w:vAlign w:val="bottom"/>
            <w:gridSpan w:val="3"/>
            <w:shd w:val="clear" w:color="auto" w:fill="5668B0"/>
          </w:tcPr>
          <w:p>
            <w:pPr>
              <w:jc w:val="right"/>
              <w:spacing w:after="0"/>
              <w:rPr>
                <w:sz w:val="20"/>
                <w:szCs w:val="20"/>
                <w:color w:val="auto"/>
              </w:rPr>
            </w:pPr>
            <w:r>
              <w:rPr>
                <w:rFonts w:ascii="Arial" w:cs="Arial" w:eastAsia="Arial" w:hAnsi="Arial"/>
                <w:sz w:val="13"/>
                <w:szCs w:val="13"/>
                <w:color w:val="FFFFFE"/>
              </w:rPr>
              <w:t>remaining available for</w:t>
            </w:r>
          </w:p>
        </w:tc>
        <w:tc>
          <w:tcPr>
            <w:tcW w:w="0" w:type="dxa"/>
            <w:vAlign w:val="bottom"/>
          </w:tcPr>
          <w:p>
            <w:pPr>
              <w:spacing w:after="0"/>
              <w:rPr>
                <w:sz w:val="1"/>
                <w:szCs w:val="1"/>
                <w:color w:val="auto"/>
              </w:rPr>
            </w:pPr>
          </w:p>
        </w:tc>
      </w:tr>
      <w:tr>
        <w:trPr>
          <w:trHeight w:val="152"/>
        </w:trPr>
        <w:tc>
          <w:tcPr>
            <w:tcW w:w="420" w:type="dxa"/>
            <w:vAlign w:val="bottom"/>
            <w:shd w:val="clear" w:color="auto" w:fill="5668B0"/>
          </w:tcPr>
          <w:p>
            <w:pPr>
              <w:spacing w:after="0"/>
              <w:rPr>
                <w:sz w:val="13"/>
                <w:szCs w:val="13"/>
                <w:color w:val="auto"/>
              </w:rPr>
            </w:pPr>
          </w:p>
        </w:tc>
        <w:tc>
          <w:tcPr>
            <w:tcW w:w="5300" w:type="dxa"/>
            <w:vAlign w:val="bottom"/>
            <w:shd w:val="clear" w:color="auto" w:fill="5668B0"/>
          </w:tcPr>
          <w:p>
            <w:pPr>
              <w:spacing w:after="0"/>
              <w:rPr>
                <w:sz w:val="13"/>
                <w:szCs w:val="13"/>
                <w:color w:val="auto"/>
              </w:rPr>
            </w:pPr>
          </w:p>
        </w:tc>
        <w:tc>
          <w:tcPr>
            <w:tcW w:w="400" w:type="dxa"/>
            <w:vAlign w:val="bottom"/>
            <w:shd w:val="clear" w:color="auto" w:fill="5668B0"/>
          </w:tcPr>
          <w:p>
            <w:pPr>
              <w:spacing w:after="0"/>
              <w:rPr>
                <w:sz w:val="13"/>
                <w:szCs w:val="13"/>
                <w:color w:val="auto"/>
              </w:rPr>
            </w:pPr>
          </w:p>
        </w:tc>
        <w:tc>
          <w:tcPr>
            <w:tcW w:w="158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to be issued upon</w:t>
            </w:r>
          </w:p>
        </w:tc>
        <w:tc>
          <w:tcPr>
            <w:tcW w:w="80" w:type="dxa"/>
            <w:vAlign w:val="bottom"/>
            <w:tcBorders>
              <w:right w:val="single" w:sz="8" w:color="5668B0"/>
            </w:tcBorders>
            <w:shd w:val="clear" w:color="auto" w:fill="5668B0"/>
          </w:tcPr>
          <w:p>
            <w:pPr>
              <w:spacing w:after="0"/>
              <w:rPr>
                <w:sz w:val="13"/>
                <w:szCs w:val="13"/>
                <w:color w:val="auto"/>
              </w:rPr>
            </w:pPr>
          </w:p>
        </w:tc>
        <w:tc>
          <w:tcPr>
            <w:tcW w:w="1680" w:type="dxa"/>
            <w:vAlign w:val="bottom"/>
            <w:gridSpan w:val="2"/>
            <w:shd w:val="clear" w:color="auto" w:fill="5668B0"/>
          </w:tcPr>
          <w:p>
            <w:pPr>
              <w:jc w:val="right"/>
              <w:ind w:right="143"/>
              <w:spacing w:after="0"/>
              <w:rPr>
                <w:sz w:val="20"/>
                <w:szCs w:val="20"/>
                <w:color w:val="auto"/>
              </w:rPr>
            </w:pPr>
            <w:r>
              <w:rPr>
                <w:rFonts w:ascii="Arial" w:cs="Arial" w:eastAsia="Arial" w:hAnsi="Arial"/>
                <w:sz w:val="13"/>
                <w:szCs w:val="13"/>
                <w:color w:val="FFFFFE"/>
              </w:rPr>
              <w:t>Weighted-average</w:t>
            </w:r>
          </w:p>
        </w:tc>
        <w:tc>
          <w:tcPr>
            <w:tcW w:w="1960" w:type="dxa"/>
            <w:vAlign w:val="bottom"/>
            <w:gridSpan w:val="3"/>
            <w:shd w:val="clear" w:color="auto" w:fill="5668B0"/>
          </w:tcPr>
          <w:p>
            <w:pPr>
              <w:jc w:val="right"/>
              <w:spacing w:after="0"/>
              <w:rPr>
                <w:sz w:val="20"/>
                <w:szCs w:val="20"/>
                <w:color w:val="auto"/>
              </w:rPr>
            </w:pPr>
            <w:r>
              <w:rPr>
                <w:rFonts w:ascii="Arial" w:cs="Arial" w:eastAsia="Arial" w:hAnsi="Arial"/>
                <w:sz w:val="13"/>
                <w:szCs w:val="13"/>
                <w:color w:val="FFFFFE"/>
              </w:rPr>
              <w:t>future issuance under</w:t>
            </w:r>
          </w:p>
        </w:tc>
        <w:tc>
          <w:tcPr>
            <w:tcW w:w="0" w:type="dxa"/>
            <w:vAlign w:val="bottom"/>
          </w:tcPr>
          <w:p>
            <w:pPr>
              <w:spacing w:after="0"/>
              <w:rPr>
                <w:sz w:val="1"/>
                <w:szCs w:val="1"/>
                <w:color w:val="auto"/>
              </w:rPr>
            </w:pPr>
          </w:p>
        </w:tc>
      </w:tr>
      <w:tr>
        <w:trPr>
          <w:trHeight w:val="152"/>
        </w:trPr>
        <w:tc>
          <w:tcPr>
            <w:tcW w:w="420" w:type="dxa"/>
            <w:vAlign w:val="bottom"/>
            <w:shd w:val="clear" w:color="auto" w:fill="5668B0"/>
          </w:tcPr>
          <w:p>
            <w:pPr>
              <w:spacing w:after="0"/>
              <w:rPr>
                <w:sz w:val="13"/>
                <w:szCs w:val="13"/>
                <w:color w:val="auto"/>
              </w:rPr>
            </w:pPr>
          </w:p>
        </w:tc>
        <w:tc>
          <w:tcPr>
            <w:tcW w:w="5300" w:type="dxa"/>
            <w:vAlign w:val="bottom"/>
            <w:shd w:val="clear" w:color="auto" w:fill="5668B0"/>
          </w:tcPr>
          <w:p>
            <w:pPr>
              <w:spacing w:after="0"/>
              <w:rPr>
                <w:sz w:val="13"/>
                <w:szCs w:val="13"/>
                <w:color w:val="auto"/>
              </w:rPr>
            </w:pPr>
          </w:p>
        </w:tc>
        <w:tc>
          <w:tcPr>
            <w:tcW w:w="400" w:type="dxa"/>
            <w:vAlign w:val="bottom"/>
            <w:shd w:val="clear" w:color="auto" w:fill="5668B0"/>
          </w:tcPr>
          <w:p>
            <w:pPr>
              <w:spacing w:after="0"/>
              <w:rPr>
                <w:sz w:val="13"/>
                <w:szCs w:val="13"/>
                <w:color w:val="auto"/>
              </w:rPr>
            </w:pPr>
          </w:p>
        </w:tc>
        <w:tc>
          <w:tcPr>
            <w:tcW w:w="158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exercise of</w:t>
            </w:r>
          </w:p>
        </w:tc>
        <w:tc>
          <w:tcPr>
            <w:tcW w:w="80" w:type="dxa"/>
            <w:vAlign w:val="bottom"/>
            <w:tcBorders>
              <w:right w:val="single" w:sz="8" w:color="5668B0"/>
            </w:tcBorders>
            <w:shd w:val="clear" w:color="auto" w:fill="5668B0"/>
          </w:tcPr>
          <w:p>
            <w:pPr>
              <w:spacing w:after="0"/>
              <w:rPr>
                <w:sz w:val="13"/>
                <w:szCs w:val="13"/>
                <w:color w:val="auto"/>
              </w:rPr>
            </w:pPr>
          </w:p>
        </w:tc>
        <w:tc>
          <w:tcPr>
            <w:tcW w:w="1680" w:type="dxa"/>
            <w:vAlign w:val="bottom"/>
            <w:gridSpan w:val="2"/>
            <w:shd w:val="clear" w:color="auto" w:fill="5668B0"/>
          </w:tcPr>
          <w:p>
            <w:pPr>
              <w:jc w:val="right"/>
              <w:ind w:right="143"/>
              <w:spacing w:after="0"/>
              <w:rPr>
                <w:sz w:val="20"/>
                <w:szCs w:val="20"/>
                <w:color w:val="auto"/>
              </w:rPr>
            </w:pPr>
            <w:r>
              <w:rPr>
                <w:rFonts w:ascii="Arial" w:cs="Arial" w:eastAsia="Arial" w:hAnsi="Arial"/>
                <w:sz w:val="13"/>
                <w:szCs w:val="13"/>
                <w:color w:val="FFFFFE"/>
              </w:rPr>
              <w:t>exercise price of</w:t>
            </w:r>
          </w:p>
        </w:tc>
        <w:tc>
          <w:tcPr>
            <w:tcW w:w="1960" w:type="dxa"/>
            <w:vAlign w:val="bottom"/>
            <w:gridSpan w:val="3"/>
            <w:shd w:val="clear" w:color="auto" w:fill="5668B0"/>
          </w:tcPr>
          <w:p>
            <w:pPr>
              <w:jc w:val="right"/>
              <w:spacing w:after="0"/>
              <w:rPr>
                <w:sz w:val="20"/>
                <w:szCs w:val="20"/>
                <w:color w:val="auto"/>
              </w:rPr>
            </w:pPr>
            <w:r>
              <w:rPr>
                <w:rFonts w:ascii="Arial" w:cs="Arial" w:eastAsia="Arial" w:hAnsi="Arial"/>
                <w:sz w:val="13"/>
                <w:szCs w:val="13"/>
                <w:color w:val="FFFFFE"/>
              </w:rPr>
              <w:t>equity compensation</w:t>
            </w:r>
          </w:p>
        </w:tc>
        <w:tc>
          <w:tcPr>
            <w:tcW w:w="0" w:type="dxa"/>
            <w:vAlign w:val="bottom"/>
          </w:tcPr>
          <w:p>
            <w:pPr>
              <w:spacing w:after="0"/>
              <w:rPr>
                <w:sz w:val="1"/>
                <w:szCs w:val="1"/>
                <w:color w:val="auto"/>
              </w:rPr>
            </w:pPr>
          </w:p>
        </w:tc>
      </w:tr>
      <w:tr>
        <w:trPr>
          <w:trHeight w:val="152"/>
        </w:trPr>
        <w:tc>
          <w:tcPr>
            <w:tcW w:w="420" w:type="dxa"/>
            <w:vAlign w:val="bottom"/>
            <w:shd w:val="clear" w:color="auto" w:fill="5668B0"/>
          </w:tcPr>
          <w:p>
            <w:pPr>
              <w:spacing w:after="0"/>
              <w:rPr>
                <w:sz w:val="13"/>
                <w:szCs w:val="13"/>
                <w:color w:val="auto"/>
              </w:rPr>
            </w:pPr>
          </w:p>
        </w:tc>
        <w:tc>
          <w:tcPr>
            <w:tcW w:w="5300" w:type="dxa"/>
            <w:vAlign w:val="bottom"/>
            <w:shd w:val="clear" w:color="auto" w:fill="5668B0"/>
          </w:tcPr>
          <w:p>
            <w:pPr>
              <w:spacing w:after="0"/>
              <w:rPr>
                <w:sz w:val="13"/>
                <w:szCs w:val="13"/>
                <w:color w:val="auto"/>
              </w:rPr>
            </w:pPr>
          </w:p>
        </w:tc>
        <w:tc>
          <w:tcPr>
            <w:tcW w:w="400" w:type="dxa"/>
            <w:vAlign w:val="bottom"/>
            <w:shd w:val="clear" w:color="auto" w:fill="5668B0"/>
          </w:tcPr>
          <w:p>
            <w:pPr>
              <w:spacing w:after="0"/>
              <w:rPr>
                <w:sz w:val="13"/>
                <w:szCs w:val="13"/>
                <w:color w:val="auto"/>
              </w:rPr>
            </w:pPr>
          </w:p>
        </w:tc>
        <w:tc>
          <w:tcPr>
            <w:tcW w:w="158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outstanding options,</w:t>
            </w:r>
          </w:p>
        </w:tc>
        <w:tc>
          <w:tcPr>
            <w:tcW w:w="80" w:type="dxa"/>
            <w:vAlign w:val="bottom"/>
            <w:tcBorders>
              <w:right w:val="single" w:sz="8" w:color="5668B0"/>
            </w:tcBorders>
            <w:shd w:val="clear" w:color="auto" w:fill="5668B0"/>
          </w:tcPr>
          <w:p>
            <w:pPr>
              <w:spacing w:after="0"/>
              <w:rPr>
                <w:sz w:val="13"/>
                <w:szCs w:val="13"/>
                <w:color w:val="auto"/>
              </w:rPr>
            </w:pPr>
          </w:p>
        </w:tc>
        <w:tc>
          <w:tcPr>
            <w:tcW w:w="1680" w:type="dxa"/>
            <w:vAlign w:val="bottom"/>
            <w:gridSpan w:val="2"/>
            <w:shd w:val="clear" w:color="auto" w:fill="5668B0"/>
          </w:tcPr>
          <w:p>
            <w:pPr>
              <w:jc w:val="right"/>
              <w:ind w:right="143"/>
              <w:spacing w:after="0"/>
              <w:rPr>
                <w:sz w:val="20"/>
                <w:szCs w:val="20"/>
                <w:color w:val="auto"/>
              </w:rPr>
            </w:pPr>
            <w:r>
              <w:rPr>
                <w:rFonts w:ascii="Arial" w:cs="Arial" w:eastAsia="Arial" w:hAnsi="Arial"/>
                <w:sz w:val="13"/>
                <w:szCs w:val="13"/>
                <w:color w:val="FFFFFE"/>
              </w:rPr>
              <w:t>outstanding options,</w:t>
            </w:r>
          </w:p>
        </w:tc>
        <w:tc>
          <w:tcPr>
            <w:tcW w:w="1960" w:type="dxa"/>
            <w:vAlign w:val="bottom"/>
            <w:gridSpan w:val="3"/>
            <w:shd w:val="clear" w:color="auto" w:fill="5668B0"/>
          </w:tcPr>
          <w:p>
            <w:pPr>
              <w:jc w:val="right"/>
              <w:spacing w:after="0"/>
              <w:rPr>
                <w:sz w:val="20"/>
                <w:szCs w:val="20"/>
                <w:color w:val="auto"/>
              </w:rPr>
            </w:pPr>
            <w:r>
              <w:rPr>
                <w:rFonts w:ascii="Arial" w:cs="Arial" w:eastAsia="Arial" w:hAnsi="Arial"/>
                <w:sz w:val="13"/>
                <w:szCs w:val="13"/>
                <w:color w:val="FFFFFE"/>
              </w:rPr>
              <w:t>plans (excluding securities</w:t>
            </w:r>
          </w:p>
        </w:tc>
        <w:tc>
          <w:tcPr>
            <w:tcW w:w="0" w:type="dxa"/>
            <w:vAlign w:val="bottom"/>
          </w:tcPr>
          <w:p>
            <w:pPr>
              <w:spacing w:after="0"/>
              <w:rPr>
                <w:sz w:val="1"/>
                <w:szCs w:val="1"/>
                <w:color w:val="auto"/>
              </w:rPr>
            </w:pPr>
          </w:p>
        </w:tc>
      </w:tr>
      <w:tr>
        <w:trPr>
          <w:trHeight w:val="162"/>
        </w:trPr>
        <w:tc>
          <w:tcPr>
            <w:tcW w:w="5720" w:type="dxa"/>
            <w:vAlign w:val="bottom"/>
            <w:gridSpan w:val="2"/>
            <w:vMerge w:val="restart"/>
            <w:shd w:val="clear" w:color="auto" w:fill="5668B0"/>
          </w:tcPr>
          <w:p>
            <w:pPr>
              <w:spacing w:after="0"/>
              <w:rPr>
                <w:sz w:val="20"/>
                <w:szCs w:val="20"/>
                <w:color w:val="auto"/>
              </w:rPr>
            </w:pPr>
            <w:r>
              <w:rPr>
                <w:rFonts w:ascii="Arial" w:cs="Arial" w:eastAsia="Arial" w:hAnsi="Arial"/>
                <w:sz w:val="13"/>
                <w:szCs w:val="13"/>
                <w:color w:val="FFFFFE"/>
              </w:rPr>
              <w:t>Plan Category</w:t>
            </w:r>
          </w:p>
        </w:tc>
        <w:tc>
          <w:tcPr>
            <w:tcW w:w="400" w:type="dxa"/>
            <w:vAlign w:val="bottom"/>
            <w:shd w:val="clear" w:color="auto" w:fill="5668B0"/>
          </w:tcPr>
          <w:p>
            <w:pPr>
              <w:spacing w:after="0"/>
              <w:rPr>
                <w:sz w:val="14"/>
                <w:szCs w:val="14"/>
                <w:color w:val="auto"/>
              </w:rPr>
            </w:pPr>
          </w:p>
        </w:tc>
        <w:tc>
          <w:tcPr>
            <w:tcW w:w="158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warrants, and rights</w:t>
            </w:r>
          </w:p>
        </w:tc>
        <w:tc>
          <w:tcPr>
            <w:tcW w:w="80" w:type="dxa"/>
            <w:vAlign w:val="bottom"/>
            <w:tcBorders>
              <w:right w:val="single" w:sz="8" w:color="5668B0"/>
            </w:tcBorders>
            <w:shd w:val="clear" w:color="auto" w:fill="5668B0"/>
          </w:tcPr>
          <w:p>
            <w:pPr>
              <w:spacing w:after="0"/>
              <w:rPr>
                <w:sz w:val="14"/>
                <w:szCs w:val="14"/>
                <w:color w:val="auto"/>
              </w:rPr>
            </w:pPr>
          </w:p>
        </w:tc>
        <w:tc>
          <w:tcPr>
            <w:tcW w:w="1680" w:type="dxa"/>
            <w:vAlign w:val="bottom"/>
            <w:gridSpan w:val="2"/>
            <w:shd w:val="clear" w:color="auto" w:fill="5668B0"/>
          </w:tcPr>
          <w:p>
            <w:pPr>
              <w:jc w:val="right"/>
              <w:ind w:right="143"/>
              <w:spacing w:after="0"/>
              <w:rPr>
                <w:sz w:val="20"/>
                <w:szCs w:val="20"/>
                <w:color w:val="auto"/>
              </w:rPr>
            </w:pPr>
            <w:r>
              <w:rPr>
                <w:rFonts w:ascii="Arial" w:cs="Arial" w:eastAsia="Arial" w:hAnsi="Arial"/>
                <w:sz w:val="13"/>
                <w:szCs w:val="13"/>
                <w:color w:val="FFFFFE"/>
              </w:rPr>
              <w:t>warrants, and rights</w:t>
            </w:r>
          </w:p>
        </w:tc>
        <w:tc>
          <w:tcPr>
            <w:tcW w:w="1960" w:type="dxa"/>
            <w:vAlign w:val="bottom"/>
            <w:gridSpan w:val="3"/>
            <w:shd w:val="clear" w:color="auto" w:fill="5668B0"/>
          </w:tcPr>
          <w:p>
            <w:pPr>
              <w:jc w:val="right"/>
              <w:spacing w:after="0"/>
              <w:rPr>
                <w:sz w:val="20"/>
                <w:szCs w:val="20"/>
                <w:color w:val="auto"/>
              </w:rPr>
            </w:pPr>
            <w:r>
              <w:rPr>
                <w:rFonts w:ascii="Arial" w:cs="Arial" w:eastAsia="Arial" w:hAnsi="Arial"/>
                <w:sz w:val="13"/>
                <w:szCs w:val="13"/>
                <w:color w:val="FFFFFE"/>
              </w:rPr>
              <w:t>reflected in column (a))</w:t>
            </w:r>
          </w:p>
        </w:tc>
        <w:tc>
          <w:tcPr>
            <w:tcW w:w="0" w:type="dxa"/>
            <w:vAlign w:val="bottom"/>
          </w:tcPr>
          <w:p>
            <w:pPr>
              <w:spacing w:after="0"/>
              <w:rPr>
                <w:sz w:val="1"/>
                <w:szCs w:val="1"/>
                <w:color w:val="auto"/>
              </w:rPr>
            </w:pPr>
          </w:p>
        </w:tc>
      </w:tr>
      <w:tr>
        <w:trPr>
          <w:trHeight w:val="137"/>
        </w:trPr>
        <w:tc>
          <w:tcPr>
            <w:tcW w:w="5720" w:type="dxa"/>
            <w:vAlign w:val="bottom"/>
            <w:gridSpan w:val="2"/>
            <w:vMerge w:val="continue"/>
            <w:shd w:val="clear" w:color="auto" w:fill="5668B0"/>
          </w:tcPr>
          <w:p>
            <w:pPr>
              <w:spacing w:after="0"/>
              <w:rPr>
                <w:sz w:val="11"/>
                <w:szCs w:val="11"/>
                <w:color w:val="auto"/>
              </w:rPr>
            </w:pPr>
          </w:p>
        </w:tc>
        <w:tc>
          <w:tcPr>
            <w:tcW w:w="400" w:type="dxa"/>
            <w:vAlign w:val="bottom"/>
            <w:shd w:val="clear" w:color="auto" w:fill="5668B0"/>
          </w:tcPr>
          <w:p>
            <w:pPr>
              <w:spacing w:after="0"/>
              <w:rPr>
                <w:sz w:val="11"/>
                <w:szCs w:val="11"/>
                <w:color w:val="auto"/>
              </w:rPr>
            </w:pPr>
          </w:p>
        </w:tc>
        <w:tc>
          <w:tcPr>
            <w:tcW w:w="1580" w:type="dxa"/>
            <w:vAlign w:val="bottom"/>
            <w:shd w:val="clear" w:color="auto" w:fill="5668B0"/>
          </w:tcPr>
          <w:p>
            <w:pPr>
              <w:spacing w:after="0"/>
              <w:rPr>
                <w:sz w:val="11"/>
                <w:szCs w:val="11"/>
                <w:color w:val="auto"/>
              </w:rPr>
            </w:pPr>
          </w:p>
        </w:tc>
        <w:tc>
          <w:tcPr>
            <w:tcW w:w="80" w:type="dxa"/>
            <w:vAlign w:val="bottom"/>
            <w:tcBorders>
              <w:right w:val="single" w:sz="8" w:color="5668B0"/>
            </w:tcBorders>
            <w:shd w:val="clear" w:color="auto" w:fill="5668B0"/>
          </w:tcPr>
          <w:p>
            <w:pPr>
              <w:spacing w:after="0"/>
              <w:rPr>
                <w:sz w:val="11"/>
                <w:szCs w:val="11"/>
                <w:color w:val="auto"/>
              </w:rPr>
            </w:pPr>
          </w:p>
        </w:tc>
        <w:tc>
          <w:tcPr>
            <w:tcW w:w="600" w:type="dxa"/>
            <w:vAlign w:val="bottom"/>
            <w:shd w:val="clear" w:color="auto" w:fill="5668B0"/>
          </w:tcPr>
          <w:p>
            <w:pPr>
              <w:spacing w:after="0"/>
              <w:rPr>
                <w:sz w:val="11"/>
                <w:szCs w:val="11"/>
                <w:color w:val="auto"/>
              </w:rPr>
            </w:pPr>
          </w:p>
        </w:tc>
        <w:tc>
          <w:tcPr>
            <w:tcW w:w="1080" w:type="dxa"/>
            <w:vAlign w:val="bottom"/>
            <w:shd w:val="clear" w:color="auto" w:fill="5668B0"/>
          </w:tcPr>
          <w:p>
            <w:pPr>
              <w:spacing w:after="0"/>
              <w:rPr>
                <w:sz w:val="11"/>
                <w:szCs w:val="11"/>
                <w:color w:val="auto"/>
              </w:rPr>
            </w:pPr>
          </w:p>
        </w:tc>
        <w:tc>
          <w:tcPr>
            <w:tcW w:w="840" w:type="dxa"/>
            <w:vAlign w:val="bottom"/>
            <w:shd w:val="clear" w:color="auto" w:fill="5668B0"/>
          </w:tcPr>
          <w:p>
            <w:pPr>
              <w:spacing w:after="0"/>
              <w:rPr>
                <w:sz w:val="11"/>
                <w:szCs w:val="11"/>
                <w:color w:val="auto"/>
              </w:rPr>
            </w:pPr>
          </w:p>
        </w:tc>
        <w:tc>
          <w:tcPr>
            <w:tcW w:w="120" w:type="dxa"/>
            <w:vAlign w:val="bottom"/>
            <w:shd w:val="clear" w:color="auto" w:fill="5668B0"/>
          </w:tcPr>
          <w:p>
            <w:pPr>
              <w:spacing w:after="0"/>
              <w:rPr>
                <w:sz w:val="11"/>
                <w:szCs w:val="11"/>
                <w:color w:val="auto"/>
              </w:rPr>
            </w:pPr>
          </w:p>
        </w:tc>
        <w:tc>
          <w:tcPr>
            <w:tcW w:w="1000" w:type="dxa"/>
            <w:vAlign w:val="bottom"/>
            <w:shd w:val="clear" w:color="auto" w:fill="5668B0"/>
          </w:tcPr>
          <w:p>
            <w:pPr>
              <w:spacing w:after="0"/>
              <w:rPr>
                <w:sz w:val="11"/>
                <w:szCs w:val="11"/>
                <w:color w:val="auto"/>
              </w:rPr>
            </w:pPr>
          </w:p>
        </w:tc>
        <w:tc>
          <w:tcPr>
            <w:tcW w:w="0" w:type="dxa"/>
            <w:vAlign w:val="bottom"/>
          </w:tcPr>
          <w:p>
            <w:pPr>
              <w:spacing w:after="0"/>
              <w:rPr>
                <w:sz w:val="1"/>
                <w:szCs w:val="1"/>
                <w:color w:val="auto"/>
              </w:rPr>
            </w:pPr>
          </w:p>
        </w:tc>
      </w:tr>
      <w:tr>
        <w:trPr>
          <w:trHeight w:val="382"/>
        </w:trPr>
        <w:tc>
          <w:tcPr>
            <w:tcW w:w="5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7"/>
                <w:szCs w:val="27"/>
                <w:color w:val="5668B0"/>
                <w:vertAlign w:val="superscript"/>
              </w:rPr>
              <w:t>1</w:t>
            </w:r>
          </w:p>
        </w:tc>
        <w:tc>
          <w:tcPr>
            <w:tcW w:w="400" w:type="dxa"/>
            <w:vAlign w:val="bottom"/>
            <w:shd w:val="clear" w:color="auto" w:fill="E6ECF8"/>
          </w:tcPr>
          <w:p>
            <w:pPr>
              <w:spacing w:after="0"/>
              <w:rPr>
                <w:sz w:val="24"/>
                <w:szCs w:val="24"/>
                <w:color w:val="auto"/>
              </w:rPr>
            </w:pP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23,165,769 shares of</w:t>
            </w:r>
          </w:p>
        </w:tc>
        <w:tc>
          <w:tcPr>
            <w:tcW w:w="680" w:type="dxa"/>
            <w:vAlign w:val="bottom"/>
            <w:gridSpan w:val="2"/>
            <w:shd w:val="clear" w:color="auto" w:fill="E6ECF8"/>
          </w:tcPr>
          <w:p>
            <w:pPr>
              <w:jc w:val="right"/>
              <w:ind w:right="333"/>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right"/>
              <w:ind w:right="143"/>
              <w:spacing w:after="0"/>
              <w:rPr>
                <w:sz w:val="20"/>
                <w:szCs w:val="20"/>
                <w:color w:val="auto"/>
              </w:rPr>
            </w:pPr>
            <w:r>
              <w:rPr>
                <w:rFonts w:ascii="Arial" w:cs="Arial" w:eastAsia="Arial" w:hAnsi="Arial"/>
                <w:sz w:val="16"/>
                <w:szCs w:val="16"/>
                <w:color w:val="auto"/>
              </w:rPr>
              <w:t>236.75</w:t>
            </w:r>
          </w:p>
        </w:tc>
        <w:tc>
          <w:tcPr>
            <w:tcW w:w="1960" w:type="dxa"/>
            <w:vAlign w:val="bottom"/>
            <w:gridSpan w:val="3"/>
            <w:shd w:val="clear" w:color="auto" w:fill="E6ECF8"/>
          </w:tcPr>
          <w:p>
            <w:pPr>
              <w:jc w:val="right"/>
              <w:spacing w:after="0"/>
              <w:rPr>
                <w:sz w:val="20"/>
                <w:szCs w:val="20"/>
                <w:color w:val="auto"/>
              </w:rPr>
            </w:pPr>
            <w:r>
              <w:rPr>
                <w:rFonts w:ascii="Arial" w:cs="Arial" w:eastAsia="Arial" w:hAnsi="Arial"/>
                <w:sz w:val="16"/>
                <w:szCs w:val="16"/>
                <w:color w:val="auto"/>
              </w:rPr>
              <w:t>9,711,439 shares of</w:t>
            </w:r>
          </w:p>
        </w:tc>
        <w:tc>
          <w:tcPr>
            <w:tcW w:w="0" w:type="dxa"/>
            <w:vAlign w:val="bottom"/>
          </w:tcPr>
          <w:p>
            <w:pPr>
              <w:spacing w:after="0"/>
              <w:rPr>
                <w:sz w:val="1"/>
                <w:szCs w:val="1"/>
                <w:color w:val="auto"/>
              </w:rPr>
            </w:pPr>
          </w:p>
        </w:tc>
      </w:tr>
      <w:tr>
        <w:trPr>
          <w:trHeight w:val="225"/>
        </w:trPr>
        <w:tc>
          <w:tcPr>
            <w:tcW w:w="420" w:type="dxa"/>
            <w:vAlign w:val="bottom"/>
            <w:shd w:val="clear" w:color="auto" w:fill="E6ECF8"/>
          </w:tcPr>
          <w:p>
            <w:pPr>
              <w:spacing w:after="0"/>
              <w:rPr>
                <w:sz w:val="19"/>
                <w:szCs w:val="19"/>
                <w:color w:val="auto"/>
              </w:rPr>
            </w:pPr>
          </w:p>
        </w:tc>
        <w:tc>
          <w:tcPr>
            <w:tcW w:w="5300" w:type="dxa"/>
            <w:vAlign w:val="bottom"/>
            <w:shd w:val="clear" w:color="auto" w:fill="E6ECF8"/>
          </w:tcPr>
          <w:p>
            <w:pPr>
              <w:spacing w:after="0"/>
              <w:rPr>
                <w:sz w:val="19"/>
                <w:szCs w:val="19"/>
                <w:color w:val="auto"/>
              </w:rPr>
            </w:pPr>
          </w:p>
        </w:tc>
        <w:tc>
          <w:tcPr>
            <w:tcW w:w="400" w:type="dxa"/>
            <w:vAlign w:val="bottom"/>
            <w:shd w:val="clear" w:color="auto" w:fill="E6ECF8"/>
          </w:tcPr>
          <w:p>
            <w:pPr>
              <w:spacing w:after="0"/>
              <w:rPr>
                <w:sz w:val="19"/>
                <w:szCs w:val="19"/>
                <w:color w:val="auto"/>
              </w:rPr>
            </w:pP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common stock</w:t>
            </w:r>
          </w:p>
        </w:tc>
        <w:tc>
          <w:tcPr>
            <w:tcW w:w="80" w:type="dxa"/>
            <w:vAlign w:val="bottom"/>
            <w:tcBorders>
              <w:right w:val="single" w:sz="8" w:color="E6ECF8"/>
            </w:tcBorders>
            <w:shd w:val="clear" w:color="auto" w:fill="E6ECF8"/>
          </w:tcPr>
          <w:p>
            <w:pPr>
              <w:spacing w:after="0"/>
              <w:rPr>
                <w:sz w:val="19"/>
                <w:szCs w:val="19"/>
                <w:color w:val="auto"/>
              </w:rPr>
            </w:pPr>
          </w:p>
        </w:tc>
        <w:tc>
          <w:tcPr>
            <w:tcW w:w="600" w:type="dxa"/>
            <w:vAlign w:val="bottom"/>
            <w:shd w:val="clear" w:color="auto" w:fill="E6ECF8"/>
          </w:tcPr>
          <w:p>
            <w:pPr>
              <w:spacing w:after="0"/>
              <w:rPr>
                <w:sz w:val="19"/>
                <w:szCs w:val="19"/>
                <w:color w:val="auto"/>
              </w:rPr>
            </w:pPr>
          </w:p>
        </w:tc>
        <w:tc>
          <w:tcPr>
            <w:tcW w:w="1080" w:type="dxa"/>
            <w:vAlign w:val="bottom"/>
            <w:shd w:val="clear" w:color="auto" w:fill="E6ECF8"/>
          </w:tcPr>
          <w:p>
            <w:pPr>
              <w:spacing w:after="0"/>
              <w:rPr>
                <w:sz w:val="19"/>
                <w:szCs w:val="19"/>
                <w:color w:val="auto"/>
              </w:rPr>
            </w:pPr>
          </w:p>
        </w:tc>
        <w:tc>
          <w:tcPr>
            <w:tcW w:w="1960" w:type="dxa"/>
            <w:vAlign w:val="bottom"/>
            <w:gridSpan w:val="3"/>
            <w:shd w:val="clear" w:color="auto" w:fill="E6ECF8"/>
          </w:tcPr>
          <w:p>
            <w:pPr>
              <w:jc w:val="right"/>
              <w:spacing w:after="0" w:line="225" w:lineRule="exact"/>
              <w:rPr>
                <w:sz w:val="20"/>
                <w:szCs w:val="20"/>
                <w:color w:val="auto"/>
              </w:rPr>
            </w:pPr>
            <w:r>
              <w:rPr>
                <w:rFonts w:ascii="Arial" w:cs="Arial" w:eastAsia="Arial" w:hAnsi="Arial"/>
                <w:sz w:val="16"/>
                <w:szCs w:val="16"/>
                <w:color w:val="auto"/>
              </w:rPr>
              <w:t xml:space="preserve">common stock </w:t>
            </w:r>
            <w:r>
              <w:rPr>
                <w:rFonts w:ascii="Arial" w:cs="Arial" w:eastAsia="Arial" w:hAnsi="Arial"/>
                <w:sz w:val="26"/>
                <w:szCs w:val="26"/>
                <w:color w:val="5668B0"/>
                <w:vertAlign w:val="superscript"/>
              </w:rPr>
              <w:t>3</w:t>
            </w:r>
          </w:p>
        </w:tc>
        <w:tc>
          <w:tcPr>
            <w:tcW w:w="0" w:type="dxa"/>
            <w:vAlign w:val="bottom"/>
          </w:tcPr>
          <w:p>
            <w:pPr>
              <w:spacing w:after="0"/>
              <w:rPr>
                <w:sz w:val="1"/>
                <w:szCs w:val="1"/>
                <w:color w:val="auto"/>
              </w:rPr>
            </w:pPr>
          </w:p>
        </w:tc>
      </w:tr>
      <w:tr>
        <w:trPr>
          <w:trHeight w:val="193"/>
        </w:trPr>
        <w:tc>
          <w:tcPr>
            <w:tcW w:w="5720" w:type="dxa"/>
            <w:vAlign w:val="bottom"/>
            <w:gridSpan w:val="2"/>
            <w:shd w:val="clear" w:color="auto" w:fill="D0DBEF"/>
          </w:tcPr>
          <w:p>
            <w:pPr>
              <w:spacing w:after="0" w:line="192" w:lineRule="exact"/>
              <w:rPr>
                <w:sz w:val="20"/>
                <w:szCs w:val="20"/>
                <w:color w:val="auto"/>
              </w:rPr>
            </w:pPr>
            <w:r>
              <w:rPr>
                <w:rFonts w:ascii="Arial" w:cs="Arial" w:eastAsia="Arial" w:hAnsi="Arial"/>
                <w:sz w:val="14"/>
                <w:szCs w:val="14"/>
                <w:color w:val="auto"/>
              </w:rPr>
              <w:t xml:space="preserve">Equity compensation plans not approved by security holders </w:t>
            </w:r>
            <w:r>
              <w:rPr>
                <w:rFonts w:ascii="Arial" w:cs="Arial" w:eastAsia="Arial" w:hAnsi="Arial"/>
                <w:sz w:val="22"/>
                <w:szCs w:val="22"/>
                <w:color w:val="5668B0"/>
                <w:vertAlign w:val="superscript"/>
              </w:rPr>
              <w:t>2</w:t>
            </w:r>
          </w:p>
        </w:tc>
        <w:tc>
          <w:tcPr>
            <w:tcW w:w="400" w:type="dxa"/>
            <w:vAlign w:val="bottom"/>
            <w:shd w:val="clear" w:color="auto" w:fill="D0DBEF"/>
          </w:tcPr>
          <w:p>
            <w:pPr>
              <w:spacing w:after="0"/>
              <w:rPr>
                <w:sz w:val="16"/>
                <w:szCs w:val="16"/>
                <w:color w:val="auto"/>
              </w:rPr>
            </w:pPr>
          </w:p>
        </w:tc>
        <w:tc>
          <w:tcPr>
            <w:tcW w:w="15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D0DBEF"/>
          </w:tcPr>
          <w:p>
            <w:pPr>
              <w:jc w:val="right"/>
              <w:ind w:right="333"/>
              <w:spacing w:after="0"/>
              <w:rPr>
                <w:sz w:val="20"/>
                <w:szCs w:val="20"/>
                <w:color w:val="auto"/>
              </w:rPr>
            </w:pPr>
            <w:r>
              <w:rPr>
                <w:rFonts w:ascii="Arial" w:cs="Arial" w:eastAsia="Arial" w:hAnsi="Arial"/>
                <w:sz w:val="16"/>
                <w:szCs w:val="16"/>
                <w:color w:val="auto"/>
              </w:rPr>
              <w:t>$</w:t>
            </w:r>
          </w:p>
        </w:tc>
        <w:tc>
          <w:tcPr>
            <w:tcW w:w="1080" w:type="dxa"/>
            <w:vAlign w:val="bottom"/>
            <w:shd w:val="clear" w:color="auto" w:fill="D0DBEF"/>
          </w:tcPr>
          <w:p>
            <w:pPr>
              <w:jc w:val="right"/>
              <w:ind w:right="143"/>
              <w:spacing w:after="0"/>
              <w:rPr>
                <w:sz w:val="20"/>
                <w:szCs w:val="20"/>
                <w:color w:val="auto"/>
              </w:rPr>
            </w:pPr>
            <w:r>
              <w:rPr>
                <w:rFonts w:ascii="Arial" w:cs="Arial" w:eastAsia="Arial" w:hAnsi="Arial"/>
                <w:sz w:val="16"/>
                <w:szCs w:val="16"/>
                <w:color w:val="auto"/>
              </w:rPr>
              <w:t>–</w:t>
            </w:r>
          </w:p>
        </w:tc>
        <w:tc>
          <w:tcPr>
            <w:tcW w:w="1960" w:type="dxa"/>
            <w:vAlign w:val="bottom"/>
            <w:gridSpan w:val="3"/>
            <w:shd w:val="clear" w:color="auto" w:fill="D0DBEF"/>
          </w:tcPr>
          <w:p>
            <w:pPr>
              <w:jc w:val="right"/>
              <w:spacing w:after="0"/>
              <w:rPr>
                <w:sz w:val="20"/>
                <w:szCs w:val="20"/>
                <w:color w:val="auto"/>
              </w:rPr>
            </w:pPr>
            <w:r>
              <w:rPr>
                <w:rFonts w:ascii="Arial" w:cs="Arial" w:eastAsia="Arial" w:hAnsi="Arial"/>
                <w:sz w:val="16"/>
                <w:szCs w:val="16"/>
                <w:color w:val="auto"/>
              </w:rPr>
              <w:t>44,246 shares of</w:t>
            </w:r>
          </w:p>
        </w:tc>
        <w:tc>
          <w:tcPr>
            <w:tcW w:w="0" w:type="dxa"/>
            <w:vAlign w:val="bottom"/>
          </w:tcPr>
          <w:p>
            <w:pPr>
              <w:spacing w:after="0"/>
              <w:rPr>
                <w:sz w:val="1"/>
                <w:szCs w:val="1"/>
                <w:color w:val="auto"/>
              </w:rPr>
            </w:pPr>
          </w:p>
        </w:tc>
      </w:tr>
      <w:tr>
        <w:trPr>
          <w:trHeight w:val="187"/>
        </w:trPr>
        <w:tc>
          <w:tcPr>
            <w:tcW w:w="420" w:type="dxa"/>
            <w:vAlign w:val="bottom"/>
            <w:tcBorders>
              <w:bottom w:val="single" w:sz="8" w:color="5668B0"/>
            </w:tcBorders>
            <w:shd w:val="clear" w:color="auto" w:fill="D0DBEF"/>
          </w:tcPr>
          <w:p>
            <w:pPr>
              <w:spacing w:after="0"/>
              <w:rPr>
                <w:sz w:val="16"/>
                <w:szCs w:val="16"/>
                <w:color w:val="auto"/>
              </w:rPr>
            </w:pPr>
          </w:p>
        </w:tc>
        <w:tc>
          <w:tcPr>
            <w:tcW w:w="5300" w:type="dxa"/>
            <w:vAlign w:val="bottom"/>
            <w:tcBorders>
              <w:bottom w:val="single" w:sz="8" w:color="5668B0"/>
            </w:tcBorders>
            <w:shd w:val="clear" w:color="auto" w:fill="D0DBEF"/>
          </w:tcPr>
          <w:p>
            <w:pPr>
              <w:spacing w:after="0"/>
              <w:rPr>
                <w:sz w:val="16"/>
                <w:szCs w:val="16"/>
                <w:color w:val="auto"/>
              </w:rPr>
            </w:pPr>
          </w:p>
        </w:tc>
        <w:tc>
          <w:tcPr>
            <w:tcW w:w="400" w:type="dxa"/>
            <w:vAlign w:val="bottom"/>
            <w:tcBorders>
              <w:bottom w:val="single" w:sz="8" w:color="5668B0"/>
            </w:tcBorders>
            <w:shd w:val="clear" w:color="auto" w:fill="D0DBEF"/>
          </w:tcPr>
          <w:p>
            <w:pPr>
              <w:spacing w:after="0"/>
              <w:rPr>
                <w:sz w:val="16"/>
                <w:szCs w:val="16"/>
                <w:color w:val="auto"/>
              </w:rPr>
            </w:pPr>
          </w:p>
        </w:tc>
        <w:tc>
          <w:tcPr>
            <w:tcW w:w="1580" w:type="dxa"/>
            <w:vAlign w:val="bottom"/>
            <w:tcBorders>
              <w:bottom w:val="single" w:sz="8" w:color="5668B0"/>
            </w:tcBorders>
            <w:shd w:val="clear" w:color="auto" w:fill="D0DBEF"/>
          </w:tcPr>
          <w:p>
            <w:pPr>
              <w:spacing w:after="0"/>
              <w:rPr>
                <w:sz w:val="16"/>
                <w:szCs w:val="16"/>
                <w:color w:val="auto"/>
              </w:rPr>
            </w:pPr>
          </w:p>
        </w:tc>
        <w:tc>
          <w:tcPr>
            <w:tcW w:w="80" w:type="dxa"/>
            <w:vAlign w:val="bottom"/>
            <w:tcBorders>
              <w:bottom w:val="single" w:sz="8" w:color="5668B0"/>
              <w:right w:val="single" w:sz="8" w:color="D0DBEF"/>
            </w:tcBorders>
            <w:shd w:val="clear" w:color="auto" w:fill="D0DBEF"/>
          </w:tcPr>
          <w:p>
            <w:pPr>
              <w:spacing w:after="0"/>
              <w:rPr>
                <w:sz w:val="16"/>
                <w:szCs w:val="16"/>
                <w:color w:val="auto"/>
              </w:rPr>
            </w:pPr>
          </w:p>
        </w:tc>
        <w:tc>
          <w:tcPr>
            <w:tcW w:w="600" w:type="dxa"/>
            <w:vAlign w:val="bottom"/>
            <w:tcBorders>
              <w:bottom w:val="single" w:sz="8" w:color="5668B0"/>
            </w:tcBorders>
            <w:shd w:val="clear" w:color="auto" w:fill="D0DBEF"/>
          </w:tcPr>
          <w:p>
            <w:pPr>
              <w:spacing w:after="0"/>
              <w:rPr>
                <w:sz w:val="16"/>
                <w:szCs w:val="16"/>
                <w:color w:val="auto"/>
              </w:rPr>
            </w:pPr>
          </w:p>
        </w:tc>
        <w:tc>
          <w:tcPr>
            <w:tcW w:w="1080" w:type="dxa"/>
            <w:vAlign w:val="bottom"/>
            <w:tcBorders>
              <w:bottom w:val="single" w:sz="8" w:color="5668B0"/>
            </w:tcBorders>
            <w:shd w:val="clear" w:color="auto" w:fill="D0DBEF"/>
          </w:tcPr>
          <w:p>
            <w:pPr>
              <w:spacing w:after="0"/>
              <w:rPr>
                <w:sz w:val="16"/>
                <w:szCs w:val="16"/>
                <w:color w:val="auto"/>
              </w:rPr>
            </w:pPr>
          </w:p>
        </w:tc>
        <w:tc>
          <w:tcPr>
            <w:tcW w:w="840" w:type="dxa"/>
            <w:vAlign w:val="bottom"/>
            <w:tcBorders>
              <w:bottom w:val="single" w:sz="8" w:color="5668B0"/>
            </w:tcBorders>
            <w:shd w:val="clear" w:color="auto" w:fill="D0DBEF"/>
          </w:tcPr>
          <w:p>
            <w:pPr>
              <w:spacing w:after="0"/>
              <w:rPr>
                <w:sz w:val="16"/>
                <w:szCs w:val="16"/>
                <w:color w:val="auto"/>
              </w:rPr>
            </w:pPr>
          </w:p>
        </w:tc>
        <w:tc>
          <w:tcPr>
            <w:tcW w:w="120" w:type="dxa"/>
            <w:vAlign w:val="bottom"/>
            <w:tcBorders>
              <w:bottom w:val="single" w:sz="8" w:color="5668B0"/>
            </w:tcBorders>
            <w:shd w:val="clear" w:color="auto" w:fill="D0DBEF"/>
          </w:tcPr>
          <w:p>
            <w:pPr>
              <w:spacing w:after="0"/>
              <w:rPr>
                <w:sz w:val="16"/>
                <w:szCs w:val="16"/>
                <w:color w:val="auto"/>
              </w:rPr>
            </w:pPr>
          </w:p>
        </w:tc>
        <w:tc>
          <w:tcPr>
            <w:tcW w:w="1000" w:type="dxa"/>
            <w:vAlign w:val="bottom"/>
            <w:tcBorders>
              <w:bottom w:val="single" w:sz="8" w:color="5668B0"/>
            </w:tcBorders>
            <w:shd w:val="clear" w:color="auto" w:fill="D0DBEF"/>
          </w:tcPr>
          <w:p>
            <w:pPr>
              <w:jc w:val="right"/>
              <w:spacing w:after="0"/>
              <w:rPr>
                <w:sz w:val="20"/>
                <w:szCs w:val="20"/>
                <w:color w:val="auto"/>
              </w:rPr>
            </w:pPr>
            <w:r>
              <w:rPr>
                <w:rFonts w:ascii="Arial" w:cs="Arial" w:eastAsia="Arial" w:hAnsi="Arial"/>
                <w:sz w:val="16"/>
                <w:szCs w:val="16"/>
                <w:color w:val="auto"/>
              </w:rPr>
              <w:t>Class A stock</w:t>
            </w:r>
          </w:p>
        </w:tc>
        <w:tc>
          <w:tcPr>
            <w:tcW w:w="0" w:type="dxa"/>
            <w:vAlign w:val="bottom"/>
          </w:tcPr>
          <w:p>
            <w:pPr>
              <w:spacing w:after="0"/>
              <w:rPr>
                <w:sz w:val="1"/>
                <w:szCs w:val="1"/>
                <w:color w:val="auto"/>
              </w:rPr>
            </w:pPr>
          </w:p>
        </w:tc>
      </w:tr>
      <w:tr>
        <w:trPr>
          <w:trHeight w:val="185"/>
        </w:trPr>
        <w:tc>
          <w:tcPr>
            <w:tcW w:w="420" w:type="dxa"/>
            <w:vAlign w:val="bottom"/>
            <w:shd w:val="clear" w:color="auto" w:fill="E6ECF8"/>
          </w:tcPr>
          <w:p>
            <w:pPr>
              <w:spacing w:after="0"/>
              <w:rPr>
                <w:sz w:val="20"/>
                <w:szCs w:val="20"/>
                <w:color w:val="auto"/>
              </w:rPr>
            </w:pPr>
            <w:r>
              <w:rPr>
                <w:rFonts w:ascii="Arial" w:cs="Arial" w:eastAsia="Arial" w:hAnsi="Arial"/>
                <w:sz w:val="16"/>
                <w:szCs w:val="16"/>
                <w:color w:val="auto"/>
              </w:rPr>
              <w:t>Total</w:t>
            </w:r>
          </w:p>
        </w:tc>
        <w:tc>
          <w:tcPr>
            <w:tcW w:w="5300" w:type="dxa"/>
            <w:vAlign w:val="bottom"/>
            <w:shd w:val="clear" w:color="auto" w:fill="E6ECF8"/>
          </w:tcPr>
          <w:p>
            <w:pPr>
              <w:spacing w:after="0"/>
              <w:rPr>
                <w:sz w:val="16"/>
                <w:szCs w:val="16"/>
                <w:color w:val="auto"/>
              </w:rPr>
            </w:pPr>
          </w:p>
        </w:tc>
        <w:tc>
          <w:tcPr>
            <w:tcW w:w="400" w:type="dxa"/>
            <w:vAlign w:val="bottom"/>
            <w:shd w:val="clear" w:color="auto" w:fill="E6ECF8"/>
          </w:tcPr>
          <w:p>
            <w:pPr>
              <w:spacing w:after="0"/>
              <w:rPr>
                <w:sz w:val="16"/>
                <w:szCs w:val="16"/>
                <w:color w:val="auto"/>
              </w:rPr>
            </w:pP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23,165,769 shares of</w:t>
            </w:r>
          </w:p>
        </w:tc>
        <w:tc>
          <w:tcPr>
            <w:tcW w:w="680" w:type="dxa"/>
            <w:vAlign w:val="bottom"/>
            <w:gridSpan w:val="2"/>
            <w:shd w:val="clear" w:color="auto" w:fill="E6ECF8"/>
          </w:tcPr>
          <w:p>
            <w:pPr>
              <w:jc w:val="right"/>
              <w:ind w:right="333"/>
              <w:spacing w:after="0"/>
              <w:rPr>
                <w:sz w:val="20"/>
                <w:szCs w:val="20"/>
                <w:color w:val="auto"/>
              </w:rPr>
            </w:pPr>
            <w:r>
              <w:rPr>
                <w:rFonts w:ascii="Arial" w:cs="Arial" w:eastAsia="Arial" w:hAnsi="Arial"/>
                <w:sz w:val="16"/>
                <w:szCs w:val="16"/>
                <w:color w:val="auto"/>
              </w:rPr>
              <w:t>$</w:t>
            </w:r>
          </w:p>
        </w:tc>
        <w:tc>
          <w:tcPr>
            <w:tcW w:w="1080" w:type="dxa"/>
            <w:vAlign w:val="bottom"/>
            <w:shd w:val="clear" w:color="auto" w:fill="E6ECF8"/>
          </w:tcPr>
          <w:p>
            <w:pPr>
              <w:jc w:val="right"/>
              <w:ind w:right="143"/>
              <w:spacing w:after="0"/>
              <w:rPr>
                <w:sz w:val="20"/>
                <w:szCs w:val="20"/>
                <w:color w:val="auto"/>
              </w:rPr>
            </w:pPr>
            <w:r>
              <w:rPr>
                <w:rFonts w:ascii="Arial" w:cs="Arial" w:eastAsia="Arial" w:hAnsi="Arial"/>
                <w:sz w:val="16"/>
                <w:szCs w:val="16"/>
                <w:color w:val="auto"/>
              </w:rPr>
              <w:t>236.75</w:t>
            </w:r>
          </w:p>
        </w:tc>
        <w:tc>
          <w:tcPr>
            <w:tcW w:w="1960" w:type="dxa"/>
            <w:vAlign w:val="bottom"/>
            <w:gridSpan w:val="3"/>
            <w:shd w:val="clear" w:color="auto" w:fill="E6ECF8"/>
          </w:tcPr>
          <w:p>
            <w:pPr>
              <w:jc w:val="right"/>
              <w:spacing w:after="0"/>
              <w:rPr>
                <w:sz w:val="20"/>
                <w:szCs w:val="20"/>
                <w:color w:val="auto"/>
              </w:rPr>
            </w:pPr>
            <w:r>
              <w:rPr>
                <w:rFonts w:ascii="Arial" w:cs="Arial" w:eastAsia="Arial" w:hAnsi="Arial"/>
                <w:sz w:val="16"/>
                <w:szCs w:val="16"/>
                <w:color w:val="auto"/>
              </w:rPr>
              <w:t>9,755,685 shares of</w:t>
            </w:r>
          </w:p>
        </w:tc>
        <w:tc>
          <w:tcPr>
            <w:tcW w:w="0" w:type="dxa"/>
            <w:vAlign w:val="bottom"/>
          </w:tcPr>
          <w:p>
            <w:pPr>
              <w:spacing w:after="0"/>
              <w:rPr>
                <w:sz w:val="1"/>
                <w:szCs w:val="1"/>
                <w:color w:val="auto"/>
              </w:rPr>
            </w:pPr>
          </w:p>
        </w:tc>
      </w:tr>
      <w:tr>
        <w:trPr>
          <w:trHeight w:val="190"/>
        </w:trPr>
        <w:tc>
          <w:tcPr>
            <w:tcW w:w="420" w:type="dxa"/>
            <w:vAlign w:val="bottom"/>
            <w:shd w:val="clear" w:color="auto" w:fill="E6ECF8"/>
          </w:tcPr>
          <w:p>
            <w:pPr>
              <w:spacing w:after="0"/>
              <w:rPr>
                <w:sz w:val="16"/>
                <w:szCs w:val="16"/>
                <w:color w:val="auto"/>
              </w:rPr>
            </w:pPr>
          </w:p>
        </w:tc>
        <w:tc>
          <w:tcPr>
            <w:tcW w:w="5300" w:type="dxa"/>
            <w:vAlign w:val="bottom"/>
            <w:shd w:val="clear" w:color="auto" w:fill="E6ECF8"/>
          </w:tcPr>
          <w:p>
            <w:pPr>
              <w:spacing w:after="0"/>
              <w:rPr>
                <w:sz w:val="16"/>
                <w:szCs w:val="16"/>
                <w:color w:val="auto"/>
              </w:rPr>
            </w:pPr>
          </w:p>
        </w:tc>
        <w:tc>
          <w:tcPr>
            <w:tcW w:w="400" w:type="dxa"/>
            <w:vAlign w:val="bottom"/>
            <w:shd w:val="clear" w:color="auto" w:fill="E6ECF8"/>
          </w:tcPr>
          <w:p>
            <w:pPr>
              <w:spacing w:after="0"/>
              <w:rPr>
                <w:sz w:val="16"/>
                <w:szCs w:val="16"/>
                <w:color w:val="auto"/>
              </w:rPr>
            </w:pP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common stock</w:t>
            </w:r>
          </w:p>
        </w:tc>
        <w:tc>
          <w:tcPr>
            <w:tcW w:w="80" w:type="dxa"/>
            <w:vAlign w:val="bottom"/>
            <w:tcBorders>
              <w:right w:val="single" w:sz="8" w:color="E6ECF8"/>
            </w:tcBorders>
            <w:shd w:val="clear" w:color="auto" w:fill="E6ECF8"/>
          </w:tcPr>
          <w:p>
            <w:pPr>
              <w:spacing w:after="0"/>
              <w:rPr>
                <w:sz w:val="16"/>
                <w:szCs w:val="16"/>
                <w:color w:val="auto"/>
              </w:rPr>
            </w:pPr>
          </w:p>
        </w:tc>
        <w:tc>
          <w:tcPr>
            <w:tcW w:w="600" w:type="dxa"/>
            <w:vAlign w:val="bottom"/>
            <w:shd w:val="clear" w:color="auto" w:fill="E6ECF8"/>
          </w:tcPr>
          <w:p>
            <w:pPr>
              <w:spacing w:after="0"/>
              <w:rPr>
                <w:sz w:val="16"/>
                <w:szCs w:val="16"/>
                <w:color w:val="auto"/>
              </w:rPr>
            </w:pPr>
          </w:p>
        </w:tc>
        <w:tc>
          <w:tcPr>
            <w:tcW w:w="1080" w:type="dxa"/>
            <w:vAlign w:val="bottom"/>
            <w:shd w:val="clear" w:color="auto" w:fill="E6ECF8"/>
          </w:tcPr>
          <w:p>
            <w:pPr>
              <w:spacing w:after="0"/>
              <w:rPr>
                <w:sz w:val="16"/>
                <w:szCs w:val="16"/>
                <w:color w:val="auto"/>
              </w:rPr>
            </w:pPr>
          </w:p>
        </w:tc>
        <w:tc>
          <w:tcPr>
            <w:tcW w:w="840" w:type="dxa"/>
            <w:vAlign w:val="bottom"/>
            <w:shd w:val="clear" w:color="auto" w:fill="E6ECF8"/>
          </w:tcPr>
          <w:p>
            <w:pPr>
              <w:spacing w:after="0"/>
              <w:rPr>
                <w:sz w:val="16"/>
                <w:szCs w:val="16"/>
                <w:color w:val="auto"/>
              </w:rPr>
            </w:pPr>
          </w:p>
        </w:tc>
        <w:tc>
          <w:tcPr>
            <w:tcW w:w="1120" w:type="dxa"/>
            <w:vAlign w:val="bottom"/>
            <w:gridSpan w:val="2"/>
            <w:shd w:val="clear" w:color="auto" w:fill="E6ECF8"/>
          </w:tcPr>
          <w:p>
            <w:pPr>
              <w:jc w:val="right"/>
              <w:spacing w:after="0"/>
              <w:rPr>
                <w:sz w:val="20"/>
                <w:szCs w:val="20"/>
                <w:color w:val="auto"/>
              </w:rPr>
            </w:pPr>
            <w:r>
              <w:rPr>
                <w:rFonts w:ascii="Arial" w:cs="Arial" w:eastAsia="Arial" w:hAnsi="Arial"/>
                <w:sz w:val="16"/>
                <w:szCs w:val="16"/>
                <w:color w:val="auto"/>
              </w:rPr>
              <w:t>common stock</w:t>
            </w:r>
          </w:p>
        </w:tc>
        <w:tc>
          <w:tcPr>
            <w:tcW w:w="0" w:type="dxa"/>
            <w:vAlign w:val="bottom"/>
          </w:tcPr>
          <w:p>
            <w:pPr>
              <w:spacing w:after="0"/>
              <w:rPr>
                <w:sz w:val="1"/>
                <w:szCs w:val="1"/>
                <w:color w:val="auto"/>
              </w:rPr>
            </w:pPr>
          </w:p>
        </w:tc>
      </w:tr>
      <w:tr>
        <w:trPr>
          <w:trHeight w:val="187"/>
        </w:trPr>
        <w:tc>
          <w:tcPr>
            <w:tcW w:w="420" w:type="dxa"/>
            <w:vAlign w:val="bottom"/>
            <w:tcBorders>
              <w:bottom w:val="single" w:sz="8" w:color="5668B0"/>
            </w:tcBorders>
            <w:shd w:val="clear" w:color="auto" w:fill="E6ECF8"/>
          </w:tcPr>
          <w:p>
            <w:pPr>
              <w:spacing w:after="0"/>
              <w:rPr>
                <w:sz w:val="16"/>
                <w:szCs w:val="16"/>
                <w:color w:val="auto"/>
              </w:rPr>
            </w:pPr>
          </w:p>
        </w:tc>
        <w:tc>
          <w:tcPr>
            <w:tcW w:w="5300" w:type="dxa"/>
            <w:vAlign w:val="bottom"/>
            <w:tcBorders>
              <w:bottom w:val="single" w:sz="8" w:color="5668B0"/>
            </w:tcBorders>
            <w:shd w:val="clear" w:color="auto" w:fill="E6ECF8"/>
          </w:tcPr>
          <w:p>
            <w:pPr>
              <w:spacing w:after="0"/>
              <w:rPr>
                <w:sz w:val="16"/>
                <w:szCs w:val="16"/>
                <w:color w:val="auto"/>
              </w:rPr>
            </w:pPr>
          </w:p>
        </w:tc>
        <w:tc>
          <w:tcPr>
            <w:tcW w:w="400" w:type="dxa"/>
            <w:vAlign w:val="bottom"/>
            <w:tcBorders>
              <w:bottom w:val="single" w:sz="8" w:color="5668B0"/>
            </w:tcBorders>
            <w:shd w:val="clear" w:color="auto" w:fill="E6ECF8"/>
          </w:tcPr>
          <w:p>
            <w:pPr>
              <w:spacing w:after="0"/>
              <w:rPr>
                <w:sz w:val="16"/>
                <w:szCs w:val="16"/>
                <w:color w:val="auto"/>
              </w:rPr>
            </w:pPr>
          </w:p>
        </w:tc>
        <w:tc>
          <w:tcPr>
            <w:tcW w:w="1580" w:type="dxa"/>
            <w:vAlign w:val="bottom"/>
            <w:tcBorders>
              <w:bottom w:val="single" w:sz="8" w:color="5668B0"/>
            </w:tcBorders>
            <w:shd w:val="clear" w:color="auto" w:fill="E6ECF8"/>
          </w:tcPr>
          <w:p>
            <w:pPr>
              <w:spacing w:after="0"/>
              <w:rPr>
                <w:sz w:val="16"/>
                <w:szCs w:val="16"/>
                <w:color w:val="auto"/>
              </w:rPr>
            </w:pPr>
          </w:p>
        </w:tc>
        <w:tc>
          <w:tcPr>
            <w:tcW w:w="80" w:type="dxa"/>
            <w:vAlign w:val="bottom"/>
            <w:tcBorders>
              <w:bottom w:val="single" w:sz="8" w:color="5668B0"/>
              <w:right w:val="single" w:sz="8" w:color="E6ECF8"/>
            </w:tcBorders>
            <w:shd w:val="clear" w:color="auto" w:fill="E6ECF8"/>
          </w:tcPr>
          <w:p>
            <w:pPr>
              <w:spacing w:after="0"/>
              <w:rPr>
                <w:sz w:val="16"/>
                <w:szCs w:val="16"/>
                <w:color w:val="auto"/>
              </w:rPr>
            </w:pPr>
          </w:p>
        </w:tc>
        <w:tc>
          <w:tcPr>
            <w:tcW w:w="600" w:type="dxa"/>
            <w:vAlign w:val="bottom"/>
            <w:tcBorders>
              <w:bottom w:val="single" w:sz="8" w:color="5668B0"/>
            </w:tcBorders>
            <w:shd w:val="clear" w:color="auto" w:fill="E6ECF8"/>
          </w:tcPr>
          <w:p>
            <w:pPr>
              <w:spacing w:after="0"/>
              <w:rPr>
                <w:sz w:val="16"/>
                <w:szCs w:val="16"/>
                <w:color w:val="auto"/>
              </w:rPr>
            </w:pPr>
          </w:p>
        </w:tc>
        <w:tc>
          <w:tcPr>
            <w:tcW w:w="1080" w:type="dxa"/>
            <w:vAlign w:val="bottom"/>
            <w:tcBorders>
              <w:bottom w:val="single" w:sz="8" w:color="5668B0"/>
            </w:tcBorders>
            <w:shd w:val="clear" w:color="auto" w:fill="E6ECF8"/>
          </w:tcPr>
          <w:p>
            <w:pPr>
              <w:spacing w:after="0"/>
              <w:rPr>
                <w:sz w:val="16"/>
                <w:szCs w:val="16"/>
                <w:color w:val="auto"/>
              </w:rPr>
            </w:pPr>
          </w:p>
        </w:tc>
        <w:tc>
          <w:tcPr>
            <w:tcW w:w="1960" w:type="dxa"/>
            <w:vAlign w:val="bottom"/>
            <w:tcBorders>
              <w:bottom w:val="single" w:sz="8" w:color="5668B0"/>
            </w:tcBorders>
            <w:gridSpan w:val="3"/>
            <w:shd w:val="clear" w:color="auto" w:fill="E6ECF8"/>
          </w:tcPr>
          <w:p>
            <w:pPr>
              <w:jc w:val="right"/>
              <w:spacing w:after="0"/>
              <w:rPr>
                <w:sz w:val="20"/>
                <w:szCs w:val="20"/>
                <w:color w:val="auto"/>
              </w:rPr>
            </w:pPr>
            <w:r>
              <w:rPr>
                <w:rFonts w:ascii="Arial" w:cs="Arial" w:eastAsia="Arial" w:hAnsi="Arial"/>
                <w:sz w:val="16"/>
                <w:szCs w:val="16"/>
                <w:color w:val="auto"/>
              </w:rPr>
              <w:t>and Class A stock</w:t>
            </w:r>
          </w:p>
        </w:tc>
        <w:tc>
          <w:tcPr>
            <w:tcW w:w="0" w:type="dxa"/>
            <w:vAlign w:val="bottom"/>
          </w:tcPr>
          <w:p>
            <w:pPr>
              <w:spacing w:after="0"/>
              <w:rPr>
                <w:sz w:val="1"/>
                <w:szCs w:val="1"/>
                <w:color w:val="auto"/>
              </w:rPr>
            </w:pPr>
          </w:p>
        </w:tc>
      </w:tr>
      <w:tr>
        <w:trPr>
          <w:trHeight w:val="516"/>
        </w:trPr>
        <w:tc>
          <w:tcPr>
            <w:tcW w:w="420" w:type="dxa"/>
            <w:vAlign w:val="bottom"/>
          </w:tcPr>
          <w:p>
            <w:pPr>
              <w:spacing w:after="0"/>
              <w:rPr>
                <w:sz w:val="20"/>
                <w:szCs w:val="20"/>
                <w:color w:val="auto"/>
              </w:rPr>
            </w:pPr>
            <w:r>
              <w:rPr>
                <w:rFonts w:ascii="Arial" w:cs="Arial" w:eastAsia="Arial" w:hAnsi="Arial"/>
                <w:sz w:val="10"/>
                <w:szCs w:val="10"/>
                <w:b w:val="1"/>
                <w:bCs w:val="1"/>
                <w:color w:val="5668B0"/>
              </w:rPr>
              <w:t>1</w:t>
            </w:r>
          </w:p>
        </w:tc>
        <w:tc>
          <w:tcPr>
            <w:tcW w:w="5300" w:type="dxa"/>
            <w:vAlign w:val="bottom"/>
            <w:vMerge w:val="restart"/>
          </w:tcPr>
          <w:p>
            <w:pPr>
              <w:ind w:left="80"/>
              <w:spacing w:after="0"/>
              <w:rPr>
                <w:sz w:val="20"/>
                <w:szCs w:val="20"/>
                <w:color w:val="auto"/>
              </w:rPr>
            </w:pPr>
            <w:r>
              <w:rPr>
                <w:rFonts w:ascii="Arial" w:cs="Arial" w:eastAsia="Arial" w:hAnsi="Arial"/>
                <w:sz w:val="13"/>
                <w:szCs w:val="13"/>
                <w:color w:val="auto"/>
              </w:rPr>
              <w:t>The  equity  compensation  plans  approved  by  the  security  holders  are  the</w:t>
            </w:r>
          </w:p>
        </w:tc>
        <w:tc>
          <w:tcPr>
            <w:tcW w:w="400" w:type="dxa"/>
            <w:vAlign w:val="bottom"/>
          </w:tcPr>
          <w:p>
            <w:pPr>
              <w:spacing w:after="0"/>
              <w:rPr>
                <w:sz w:val="24"/>
                <w:szCs w:val="24"/>
                <w:color w:val="auto"/>
              </w:rPr>
            </w:pPr>
          </w:p>
        </w:tc>
        <w:tc>
          <w:tcPr>
            <w:tcW w:w="5300" w:type="dxa"/>
            <w:vAlign w:val="bottom"/>
            <w:gridSpan w:val="7"/>
            <w:vMerge w:val="restart"/>
          </w:tcPr>
          <w:p>
            <w:pPr>
              <w:ind w:left="440"/>
              <w:spacing w:after="0"/>
              <w:rPr>
                <w:sz w:val="20"/>
                <w:szCs w:val="20"/>
                <w:color w:val="auto"/>
              </w:rPr>
            </w:pPr>
            <w:r>
              <w:rPr>
                <w:rFonts w:ascii="Arial" w:cs="Arial" w:eastAsia="Arial" w:hAnsi="Arial"/>
                <w:sz w:val="13"/>
                <w:szCs w:val="13"/>
                <w:color w:val="auto"/>
              </w:rPr>
              <w:t>purchase Class A stock at a price set by the Compensation Committee. The Plan</w:t>
            </w:r>
          </w:p>
        </w:tc>
        <w:tc>
          <w:tcPr>
            <w:tcW w:w="0" w:type="dxa"/>
            <w:vAlign w:val="bottom"/>
          </w:tcPr>
          <w:p>
            <w:pPr>
              <w:spacing w:after="0"/>
              <w:rPr>
                <w:sz w:val="1"/>
                <w:szCs w:val="1"/>
                <w:color w:val="auto"/>
              </w:rPr>
            </w:pPr>
          </w:p>
        </w:tc>
      </w:tr>
      <w:tr>
        <w:trPr>
          <w:trHeight w:val="63"/>
        </w:trPr>
        <w:tc>
          <w:tcPr>
            <w:tcW w:w="420" w:type="dxa"/>
            <w:vAlign w:val="bottom"/>
          </w:tcPr>
          <w:p>
            <w:pPr>
              <w:spacing w:after="0"/>
              <w:rPr>
                <w:sz w:val="5"/>
                <w:szCs w:val="5"/>
                <w:color w:val="auto"/>
              </w:rPr>
            </w:pPr>
          </w:p>
        </w:tc>
        <w:tc>
          <w:tcPr>
            <w:tcW w:w="53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3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Regeneron Pharmaceuticals, Inc. Second Amended and Restated 2000 Long-</w:t>
            </w:r>
          </w:p>
        </w:tc>
        <w:tc>
          <w:tcPr>
            <w:tcW w:w="400" w:type="dxa"/>
            <w:vAlign w:val="bottom"/>
          </w:tcPr>
          <w:p>
            <w:pPr>
              <w:spacing w:after="0"/>
              <w:rPr>
                <w:sz w:val="13"/>
                <w:szCs w:val="13"/>
                <w:color w:val="auto"/>
              </w:rPr>
            </w:pPr>
          </w:p>
        </w:tc>
        <w:tc>
          <w:tcPr>
            <w:tcW w:w="1580" w:type="dxa"/>
            <w:vAlign w:val="bottom"/>
          </w:tcPr>
          <w:p>
            <w:pPr>
              <w:ind w:left="440"/>
              <w:spacing w:after="0"/>
              <w:rPr>
                <w:sz w:val="20"/>
                <w:szCs w:val="20"/>
                <w:color w:val="auto"/>
              </w:rPr>
            </w:pPr>
            <w:r>
              <w:rPr>
                <w:rFonts w:ascii="Arial" w:cs="Arial" w:eastAsia="Arial" w:hAnsi="Arial"/>
                <w:sz w:val="13"/>
                <w:szCs w:val="13"/>
                <w:color w:val="auto"/>
              </w:rPr>
              <w:t>provides  for  the</w:t>
            </w:r>
          </w:p>
        </w:tc>
        <w:tc>
          <w:tcPr>
            <w:tcW w:w="3720" w:type="dxa"/>
            <w:vAlign w:val="bottom"/>
            <w:gridSpan w:val="6"/>
          </w:tcPr>
          <w:p>
            <w:pPr>
              <w:jc w:val="right"/>
              <w:spacing w:after="0"/>
              <w:rPr>
                <w:sz w:val="20"/>
                <w:szCs w:val="20"/>
                <w:color w:val="auto"/>
              </w:rPr>
            </w:pPr>
            <w:r>
              <w:rPr>
                <w:rFonts w:ascii="Arial" w:cs="Arial" w:eastAsia="Arial" w:hAnsi="Arial"/>
                <w:sz w:val="13"/>
                <w:szCs w:val="13"/>
                <w:color w:val="auto"/>
              </w:rPr>
              <w:t>vesting  of  shares  as  determined  by  the  Compensation</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Term Incentive Plan and the Regeneron Pharmaceuticals, Inc. 2014 Long-Term</w:t>
            </w:r>
          </w:p>
        </w:tc>
        <w:tc>
          <w:tcPr>
            <w:tcW w:w="400" w:type="dxa"/>
            <w:vAlign w:val="bottom"/>
          </w:tcPr>
          <w:p>
            <w:pPr>
              <w:spacing w:after="0"/>
              <w:rPr>
                <w:sz w:val="13"/>
                <w:szCs w:val="13"/>
                <w:color w:val="auto"/>
              </w:rPr>
            </w:pPr>
          </w:p>
        </w:tc>
        <w:tc>
          <w:tcPr>
            <w:tcW w:w="5300" w:type="dxa"/>
            <w:vAlign w:val="bottom"/>
            <w:gridSpan w:val="7"/>
          </w:tcPr>
          <w:p>
            <w:pPr>
              <w:ind w:left="440"/>
              <w:spacing w:after="0"/>
              <w:rPr>
                <w:sz w:val="20"/>
                <w:szCs w:val="20"/>
                <w:color w:val="auto"/>
              </w:rPr>
            </w:pPr>
            <w:r>
              <w:rPr>
                <w:rFonts w:ascii="Arial" w:cs="Arial" w:eastAsia="Arial" w:hAnsi="Arial"/>
                <w:sz w:val="13"/>
                <w:szCs w:val="13"/>
                <w:color w:val="auto"/>
              </w:rPr>
              <w:t>Committee; should the Company's relationship with a Plan participant terminate</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Incentive Plan. The Regeneron Pharmaceuticals, Inc. 2014 Long-Term Incentive</w:t>
            </w: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before all shares</w:t>
            </w:r>
          </w:p>
        </w:tc>
        <w:tc>
          <w:tcPr>
            <w:tcW w:w="3720" w:type="dxa"/>
            <w:vAlign w:val="bottom"/>
            <w:gridSpan w:val="6"/>
          </w:tcPr>
          <w:p>
            <w:pPr>
              <w:jc w:val="right"/>
              <w:spacing w:after="0"/>
              <w:rPr>
                <w:sz w:val="20"/>
                <w:szCs w:val="20"/>
                <w:color w:val="auto"/>
              </w:rPr>
            </w:pPr>
            <w:r>
              <w:rPr>
                <w:rFonts w:ascii="Arial" w:cs="Arial" w:eastAsia="Arial" w:hAnsi="Arial"/>
                <w:sz w:val="13"/>
                <w:szCs w:val="13"/>
                <w:color w:val="auto"/>
              </w:rPr>
              <w:t>are vested, unvested shares will be repurchased by the</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Plan is the only plan currently used by the Company to grant equity awards.</w:t>
            </w:r>
          </w:p>
        </w:tc>
        <w:tc>
          <w:tcPr>
            <w:tcW w:w="400" w:type="dxa"/>
            <w:vAlign w:val="bottom"/>
          </w:tcPr>
          <w:p>
            <w:pPr>
              <w:spacing w:after="0"/>
              <w:rPr>
                <w:sz w:val="13"/>
                <w:szCs w:val="13"/>
                <w:color w:val="auto"/>
              </w:rPr>
            </w:pPr>
          </w:p>
        </w:tc>
        <w:tc>
          <w:tcPr>
            <w:tcW w:w="5300" w:type="dxa"/>
            <w:vAlign w:val="bottom"/>
            <w:gridSpan w:val="7"/>
          </w:tcPr>
          <w:p>
            <w:pPr>
              <w:ind w:left="440"/>
              <w:spacing w:after="0"/>
              <w:rPr>
                <w:sz w:val="20"/>
                <w:szCs w:val="20"/>
                <w:color w:val="auto"/>
              </w:rPr>
            </w:pPr>
            <w:r>
              <w:rPr>
                <w:rFonts w:ascii="Arial" w:cs="Arial" w:eastAsia="Arial" w:hAnsi="Arial"/>
                <w:sz w:val="13"/>
                <w:szCs w:val="13"/>
                <w:color w:val="auto"/>
              </w:rPr>
              <w:t>Company at a price per share equal to the original amount paid by the Plan</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ind w:left="440"/>
              <w:spacing w:after="0"/>
              <w:rPr>
                <w:sz w:val="20"/>
                <w:szCs w:val="20"/>
                <w:color w:val="auto"/>
              </w:rPr>
            </w:pPr>
            <w:r>
              <w:rPr>
                <w:rFonts w:ascii="Arial" w:cs="Arial" w:eastAsia="Arial" w:hAnsi="Arial"/>
                <w:sz w:val="13"/>
                <w:szCs w:val="13"/>
                <w:color w:val="auto"/>
              </w:rPr>
              <w:t>participant. As of</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December</w:t>
            </w:r>
          </w:p>
        </w:tc>
        <w:tc>
          <w:tcPr>
            <w:tcW w:w="1080" w:type="dxa"/>
            <w:vAlign w:val="bottom"/>
          </w:tcPr>
          <w:p>
            <w:pPr>
              <w:ind w:left="40"/>
              <w:spacing w:after="0"/>
              <w:rPr>
                <w:sz w:val="20"/>
                <w:szCs w:val="20"/>
                <w:color w:val="auto"/>
              </w:rPr>
            </w:pPr>
            <w:r>
              <w:rPr>
                <w:rFonts w:ascii="Arial" w:cs="Arial" w:eastAsia="Arial" w:hAnsi="Arial"/>
                <w:sz w:val="13"/>
                <w:szCs w:val="13"/>
                <w:color w:val="auto"/>
              </w:rPr>
              <w:t>31, 2015, there</w:t>
            </w:r>
          </w:p>
        </w:tc>
        <w:tc>
          <w:tcPr>
            <w:tcW w:w="1960" w:type="dxa"/>
            <w:vAlign w:val="bottom"/>
            <w:gridSpan w:val="3"/>
          </w:tcPr>
          <w:p>
            <w:pPr>
              <w:jc w:val="right"/>
              <w:spacing w:after="0"/>
              <w:rPr>
                <w:sz w:val="20"/>
                <w:szCs w:val="20"/>
                <w:color w:val="auto"/>
              </w:rPr>
            </w:pPr>
            <w:r>
              <w:rPr>
                <w:rFonts w:ascii="Arial" w:cs="Arial" w:eastAsia="Arial" w:hAnsi="Arial"/>
                <w:sz w:val="13"/>
                <w:szCs w:val="13"/>
                <w:color w:val="auto"/>
              </w:rPr>
              <w:t>were no unvested shares and</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20"/>
                <w:szCs w:val="20"/>
                <w:color w:val="auto"/>
              </w:rPr>
            </w:pPr>
            <w:r>
              <w:rPr>
                <w:rFonts w:ascii="Arial" w:cs="Arial" w:eastAsia="Arial" w:hAnsi="Arial"/>
                <w:sz w:val="10"/>
                <w:szCs w:val="10"/>
                <w:b w:val="1"/>
                <w:bCs w:val="1"/>
                <w:color w:val="5668B0"/>
              </w:rPr>
              <w:t>2</w:t>
            </w:r>
          </w:p>
        </w:tc>
        <w:tc>
          <w:tcPr>
            <w:tcW w:w="5300" w:type="dxa"/>
            <w:vAlign w:val="bottom"/>
            <w:vMerge w:val="restart"/>
          </w:tcPr>
          <w:p>
            <w:pPr>
              <w:ind w:left="80"/>
              <w:spacing w:after="0"/>
              <w:rPr>
                <w:sz w:val="20"/>
                <w:szCs w:val="20"/>
                <w:color w:val="auto"/>
              </w:rPr>
            </w:pPr>
            <w:r>
              <w:rPr>
                <w:rFonts w:ascii="Arial" w:cs="Arial" w:eastAsia="Arial" w:hAnsi="Arial"/>
                <w:sz w:val="13"/>
                <w:szCs w:val="13"/>
                <w:color w:val="auto"/>
              </w:rPr>
              <w:t>The equity compensation plan not approved by the security holders is the</w:t>
            </w:r>
          </w:p>
        </w:tc>
        <w:tc>
          <w:tcPr>
            <w:tcW w:w="400" w:type="dxa"/>
            <w:vAlign w:val="bottom"/>
          </w:tcPr>
          <w:p>
            <w:pPr>
              <w:spacing w:after="0"/>
              <w:rPr>
                <w:sz w:val="14"/>
                <w:szCs w:val="14"/>
                <w:color w:val="auto"/>
              </w:rPr>
            </w:pPr>
          </w:p>
        </w:tc>
        <w:tc>
          <w:tcPr>
            <w:tcW w:w="5300" w:type="dxa"/>
            <w:vAlign w:val="bottom"/>
            <w:gridSpan w:val="7"/>
          </w:tcPr>
          <w:p>
            <w:pPr>
              <w:ind w:left="440"/>
              <w:spacing w:after="0"/>
              <w:rPr>
                <w:sz w:val="20"/>
                <w:szCs w:val="20"/>
                <w:color w:val="auto"/>
              </w:rPr>
            </w:pPr>
            <w:r>
              <w:rPr>
                <w:rFonts w:ascii="Arial" w:cs="Arial" w:eastAsia="Arial" w:hAnsi="Arial"/>
                <w:sz w:val="13"/>
                <w:szCs w:val="13"/>
                <w:color w:val="auto"/>
              </w:rPr>
              <w:t>44,246 shares of Class A stock available for future grants under the Plan.</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53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Executive Stock Purchase Plan. It was adopted in 1989 and provides for the</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5668B0"/>
              </w:rPr>
              <w:t>3</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420" w:type="dxa"/>
            <w:vAlign w:val="bottom"/>
          </w:tcPr>
          <w:p>
            <w:pPr>
              <w:spacing w:after="0"/>
              <w:rPr>
                <w:sz w:val="7"/>
                <w:szCs w:val="7"/>
                <w:color w:val="auto"/>
              </w:rPr>
            </w:pPr>
          </w:p>
        </w:tc>
        <w:tc>
          <w:tcPr>
            <w:tcW w:w="5300" w:type="dxa"/>
            <w:vAlign w:val="bottom"/>
            <w:vMerge w:val="restart"/>
          </w:tcPr>
          <w:p>
            <w:pPr>
              <w:ind w:left="80"/>
              <w:spacing w:after="0"/>
              <w:rPr>
                <w:sz w:val="20"/>
                <w:szCs w:val="20"/>
                <w:color w:val="auto"/>
              </w:rPr>
            </w:pPr>
            <w:r>
              <w:rPr>
                <w:rFonts w:ascii="Arial" w:cs="Arial" w:eastAsia="Arial" w:hAnsi="Arial"/>
                <w:sz w:val="13"/>
                <w:szCs w:val="13"/>
                <w:color w:val="auto"/>
              </w:rPr>
              <w:t>Compensation  Committee  of  the  board  of  directors  to  award  employees,</w:t>
            </w:r>
          </w:p>
        </w:tc>
        <w:tc>
          <w:tcPr>
            <w:tcW w:w="400" w:type="dxa"/>
            <w:vAlign w:val="bottom"/>
            <w:vMerge w:val="continue"/>
          </w:tcPr>
          <w:p>
            <w:pPr>
              <w:spacing w:after="0"/>
              <w:rPr>
                <w:sz w:val="7"/>
                <w:szCs w:val="7"/>
                <w:color w:val="auto"/>
              </w:rPr>
            </w:pPr>
          </w:p>
        </w:tc>
        <w:tc>
          <w:tcPr>
            <w:tcW w:w="5300" w:type="dxa"/>
            <w:vAlign w:val="bottom"/>
            <w:gridSpan w:val="7"/>
            <w:vMerge w:val="restart"/>
          </w:tcPr>
          <w:p>
            <w:pPr>
              <w:ind w:left="440"/>
              <w:spacing w:after="0"/>
              <w:rPr>
                <w:sz w:val="20"/>
                <w:szCs w:val="20"/>
                <w:color w:val="auto"/>
              </w:rPr>
            </w:pPr>
            <w:r>
              <w:rPr>
                <w:rFonts w:ascii="Arial" w:cs="Arial" w:eastAsia="Arial" w:hAnsi="Arial"/>
                <w:sz w:val="13"/>
                <w:szCs w:val="13"/>
                <w:color w:val="auto"/>
              </w:rPr>
              <w:t>Gives effect to 541,700 outstanding shares of restricted stock. As these shares</w:t>
            </w:r>
          </w:p>
        </w:tc>
        <w:tc>
          <w:tcPr>
            <w:tcW w:w="0" w:type="dxa"/>
            <w:vAlign w:val="bottom"/>
          </w:tcPr>
          <w:p>
            <w:pPr>
              <w:spacing w:after="0"/>
              <w:rPr>
                <w:sz w:val="1"/>
                <w:szCs w:val="1"/>
                <w:color w:val="auto"/>
              </w:rPr>
            </w:pPr>
          </w:p>
        </w:tc>
      </w:tr>
      <w:tr>
        <w:trPr>
          <w:trHeight w:val="63"/>
        </w:trPr>
        <w:tc>
          <w:tcPr>
            <w:tcW w:w="420" w:type="dxa"/>
            <w:vAlign w:val="bottom"/>
          </w:tcPr>
          <w:p>
            <w:pPr>
              <w:spacing w:after="0"/>
              <w:rPr>
                <w:sz w:val="5"/>
                <w:szCs w:val="5"/>
                <w:color w:val="auto"/>
              </w:rPr>
            </w:pPr>
          </w:p>
        </w:tc>
        <w:tc>
          <w:tcPr>
            <w:tcW w:w="53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3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directors, consultants, and other individuals who render service to the Company</w:t>
            </w:r>
          </w:p>
        </w:tc>
        <w:tc>
          <w:tcPr>
            <w:tcW w:w="400" w:type="dxa"/>
            <w:vAlign w:val="bottom"/>
          </w:tcPr>
          <w:p>
            <w:pPr>
              <w:spacing w:after="0"/>
              <w:rPr>
                <w:sz w:val="13"/>
                <w:szCs w:val="13"/>
                <w:color w:val="auto"/>
              </w:rPr>
            </w:pPr>
          </w:p>
        </w:tc>
        <w:tc>
          <w:tcPr>
            <w:tcW w:w="5300" w:type="dxa"/>
            <w:vAlign w:val="bottom"/>
            <w:gridSpan w:val="7"/>
          </w:tcPr>
          <w:p>
            <w:pPr>
              <w:ind w:left="440"/>
              <w:spacing w:after="0"/>
              <w:rPr>
                <w:sz w:val="20"/>
                <w:szCs w:val="20"/>
                <w:color w:val="auto"/>
              </w:rPr>
            </w:pPr>
            <w:r>
              <w:rPr>
                <w:rFonts w:ascii="Arial" w:cs="Arial" w:eastAsia="Arial" w:hAnsi="Arial"/>
                <w:sz w:val="13"/>
                <w:szCs w:val="13"/>
                <w:color w:val="auto"/>
              </w:rPr>
              <w:t>are considered issued and outstanding upon grant, they are not included in the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the right to</w:t>
            </w:r>
          </w:p>
        </w:tc>
        <w:tc>
          <w:tcPr>
            <w:tcW w:w="400" w:type="dxa"/>
            <w:vAlign w:val="bottom"/>
          </w:tcPr>
          <w:p>
            <w:pPr>
              <w:spacing w:after="0"/>
              <w:rPr>
                <w:sz w:val="14"/>
                <w:szCs w:val="14"/>
                <w:color w:val="auto"/>
              </w:rPr>
            </w:pPr>
          </w:p>
        </w:tc>
        <w:tc>
          <w:tcPr>
            <w:tcW w:w="3340" w:type="dxa"/>
            <w:vAlign w:val="bottom"/>
            <w:gridSpan w:val="4"/>
          </w:tcPr>
          <w:p>
            <w:pPr>
              <w:ind w:left="440"/>
              <w:spacing w:after="0"/>
              <w:rPr>
                <w:sz w:val="20"/>
                <w:szCs w:val="20"/>
                <w:color w:val="auto"/>
              </w:rPr>
            </w:pPr>
            <w:r>
              <w:rPr>
                <w:rFonts w:ascii="Arial" w:cs="Arial" w:eastAsia="Arial" w:hAnsi="Arial"/>
                <w:sz w:val="13"/>
                <w:szCs w:val="13"/>
                <w:color w:val="auto"/>
              </w:rPr>
              <w:t>amounts reported in column (a).</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Borders>
              <w:right w:val="single" w:sz="8" w:color="183394"/>
            </w:tcBorders>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gridSpan w:val="2"/>
          </w:tcPr>
          <w:p>
            <w:pPr>
              <w:ind w:left="40"/>
              <w:spacing w:after="0"/>
              <w:rPr>
                <w:sz w:val="20"/>
                <w:szCs w:val="20"/>
                <w:color w:val="auto"/>
              </w:rPr>
            </w:pPr>
            <w:r>
              <w:rPr>
                <w:rFonts w:ascii="Arial" w:cs="Arial" w:eastAsia="Arial" w:hAnsi="Arial"/>
                <w:sz w:val="16"/>
                <w:szCs w:val="16"/>
                <w:color w:val="183394"/>
              </w:rPr>
              <w:t>Executive Compensation</w:t>
            </w:r>
          </w:p>
        </w:tc>
        <w:tc>
          <w:tcPr>
            <w:tcW w:w="120" w:type="dxa"/>
            <w:vAlign w:val="bottom"/>
          </w:tcPr>
          <w:p>
            <w:pPr>
              <w:spacing w:after="0"/>
              <w:rPr>
                <w:sz w:val="24"/>
                <w:szCs w:val="24"/>
                <w:color w:val="auto"/>
              </w:rPr>
            </w:pPr>
          </w:p>
        </w:tc>
        <w:tc>
          <w:tcPr>
            <w:tcW w:w="1000" w:type="dxa"/>
            <w:vAlign w:val="bottom"/>
            <w:shd w:val="clear" w:color="auto" w:fill="183394"/>
          </w:tcPr>
          <w:p>
            <w:pPr>
              <w:jc w:val="right"/>
              <w:ind w:right="323"/>
              <w:spacing w:after="0"/>
              <w:rPr>
                <w:sz w:val="20"/>
                <w:szCs w:val="20"/>
                <w:color w:val="auto"/>
              </w:rPr>
            </w:pPr>
            <w:r>
              <w:rPr>
                <w:rFonts w:ascii="Arial" w:cs="Arial" w:eastAsia="Arial" w:hAnsi="Arial"/>
                <w:sz w:val="16"/>
                <w:szCs w:val="16"/>
                <w:b w:val="1"/>
                <w:bCs w:val="1"/>
                <w:color w:val="FFFFFF"/>
              </w:rPr>
              <w:t>71</w:t>
            </w:r>
          </w:p>
        </w:tc>
        <w:tc>
          <w:tcPr>
            <w:tcW w:w="0" w:type="dxa"/>
            <w:vAlign w:val="bottom"/>
          </w:tcPr>
          <w:p>
            <w:pPr>
              <w:spacing w:after="0"/>
              <w:rPr>
                <w:sz w:val="1"/>
                <w:szCs w:val="1"/>
                <w:color w:val="auto"/>
              </w:rPr>
            </w:pPr>
          </w:p>
        </w:tc>
      </w:tr>
      <w:tr>
        <w:trPr>
          <w:trHeight w:val="110"/>
        </w:trPr>
        <w:tc>
          <w:tcPr>
            <w:tcW w:w="420" w:type="dxa"/>
            <w:vAlign w:val="bottom"/>
            <w:tcBorders>
              <w:bottom w:val="single" w:sz="8" w:color="808080"/>
            </w:tcBorders>
          </w:tcPr>
          <w:p>
            <w:pPr>
              <w:spacing w:after="0"/>
              <w:rPr>
                <w:sz w:val="9"/>
                <w:szCs w:val="9"/>
                <w:color w:val="auto"/>
              </w:rPr>
            </w:pPr>
          </w:p>
        </w:tc>
        <w:tc>
          <w:tcPr>
            <w:tcW w:w="5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Other Matters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When are shareholder proposals due for the 2017 Annual Meeting of Shareholders?</w:t>
      </w:r>
    </w:p>
    <w:p>
      <w:pPr>
        <w:spacing w:after="0" w:line="157"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 shareholder wishing to present a proposal at the 2017 Annual Meeting of Shareholders must submit the proposal in writing and it must be received by the Company at its principal executive offices at 777 Old Saw Mill River Road, Tarrytown, New York 10591-6707 by December 28, 2016, and must satisfy the other conditions established by the SEC, in order for such proposal to be considered for inclusion in the Company's proxy statement and form of proxy relating to that meeting.</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our by-laws, proposals of shareholders intended to be submitted for a formal vote (other than proposals to be included in our proxy statement) at the 2017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2017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2017 Annual Meeting is held on June 9, 2017 in accordance with the Company's past practice, and at least 70 days' notice or prior public disclosure of the date of the 2017 Annual Meeting is given or made to shareholders, notice of such proposals would need to be given no earlier than March 11, 2017 and no later than April 10, 2017. Any proposal received outside of such dates will not be considered "timely" under the federal proxy rules for purposes of determining whether we may use discretionary authority to vote on such proposal.</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multiple shareholders share an address?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368300</wp:posOffset>
            </wp:positionV>
            <wp:extent cx="642620" cy="2006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375920</wp:posOffset>
            </wp:positionV>
            <wp:extent cx="8255" cy="1930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160" w:hanging="744"/>
        <w:spacing w:after="0"/>
        <w:tabs>
          <w:tab w:leader="none" w:pos="1160" w:val="left"/>
        </w:tabs>
        <w:numPr>
          <w:ilvl w:val="0"/>
          <w:numId w:val="130"/>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Other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multiple shareholders sharing the same address. If you wish to receive separate copies of the proxy statement for the 2016 Annual Meeting, the 2015 Annual Report, or the Notice of Internet Availability of Proxy Materials, you may find these materials at our internet website (</w:t>
      </w:r>
      <w:r>
        <w:rPr>
          <w:rFonts w:ascii="Arial" w:cs="Arial" w:eastAsia="Arial" w:hAnsi="Arial"/>
          <w:sz w:val="16"/>
          <w:szCs w:val="16"/>
          <w:i w:val="1"/>
          <w:iCs w:val="1"/>
          <w:color w:val="auto"/>
        </w:rPr>
        <w:t>www.regeneron.com</w:t>
      </w:r>
      <w:r>
        <w:rPr>
          <w:rFonts w:ascii="Arial" w:cs="Arial" w:eastAsia="Arial" w:hAnsi="Arial"/>
          <w:sz w:val="16"/>
          <w:szCs w:val="16"/>
          <w:color w:val="auto"/>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Are there any other matters to be addressed at the Annual Meeting?</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Who will pay the costs related to this proxy statement and the Annual Meeting?</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 we will make arrangements with brokerage houses and other custodians, nominees, and fiduciaries to send proxies and proxy materials to their principals and will reimburse them for their reasonable expenses in so doing. In addition to the solicitation by use of the mails and the Internet, certain of our officers, directors, and employees may solicit the return of proxies by telephone, e-mail or personal interviews.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1234440</wp:posOffset>
            </wp:positionV>
            <wp:extent cx="725995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87" w:name="page88"/>
    <w:bookmarkEnd w:id="87"/>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How can you receive a printed copy of the Company's 2015 Annual Report?</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Interested shareholders may obtain without charge a copy of our 2015 Annual Report (without exhibits), which includes our audited financial statements for the fiscal year ended December 31, 2015,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you elect to receive future proxy materials electronically?</w:t>
      </w:r>
    </w:p>
    <w:p>
      <w:pPr>
        <w:spacing w:after="0" w:line="22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501650</wp:posOffset>
            </wp:positionV>
            <wp:extent cx="725995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3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when prompted, indicate that you agree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506095</wp:posOffset>
            </wp:positionV>
            <wp:extent cx="8255" cy="1930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3180" w:type="dxa"/>
        <w:tblCellMar>
          <w:top w:w="0" w:type="dxa"/>
          <w:left w:w="0" w:type="dxa"/>
          <w:bottom w:w="0" w:type="dxa"/>
          <w:right w:w="0" w:type="dxa"/>
        </w:tblCellMar>
      </w:tblPr>
      <w:tr>
        <w:trPr>
          <w:trHeight w:val="304"/>
        </w:trPr>
        <w:tc>
          <w:tcPr>
            <w:tcW w:w="1180" w:type="dxa"/>
            <w:vAlign w:val="bottom"/>
          </w:tcPr>
          <w:p>
            <w:pPr>
              <w:spacing w:after="0"/>
              <w:rPr>
                <w:sz w:val="20"/>
                <w:szCs w:val="20"/>
                <w:color w:val="auto"/>
              </w:rPr>
            </w:pPr>
            <w:r>
              <w:rPr>
                <w:rFonts w:ascii="Arial" w:cs="Arial" w:eastAsia="Arial" w:hAnsi="Arial"/>
                <w:sz w:val="16"/>
                <w:szCs w:val="16"/>
                <w:color w:val="183394"/>
              </w:rPr>
              <w:t>Other Matters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73</w:t>
            </w:r>
          </w:p>
        </w:tc>
      </w:tr>
    </w:tbl>
    <w:p>
      <w:pPr>
        <w:sectPr>
          <w:pgSz w:w="11900" w:h="16838" w:orient="portrait"/>
          <w:cols w:equalWidth="0" w:num="2">
            <w:col w:w="5380" w:space="680"/>
            <w:col w:w="5360"/>
          </w:cols>
          <w:pgMar w:left="240" w:top="142"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Appendix A Note Regarding Forward-Looking Statements andNon-GAAP Financial Measures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includes forward-looking statements that involve risks and uncertainties relating to future events and the future performance of Regeneron Pharmaceuticals, Inc. ("we," "us," "our,"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 (aflibercept) Injection, Praluent® (alirocumab) Injection, sarilumab, dupilumab, fasinumab, REGN 2222, and the immuno-oncology program;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Praluent®, sarilumab, dupilumab, fasinumab, and REGN 2222; ongoing regulatory obligations and oversight impacting our marketed products (such as EYLEA® and Praluent®),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its sales or other financial projections or guidance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third party intellectual property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pending or future litigation relating thereto. A more complete description of these and other material risks can be found in our filings with the Securities and Exchange Commission, including our Annual Report on Form 10-K for the fiscal year ended December 31, 2015 (filed with the Securities and Exchange Commission on February 11, 2016), including in the section thereof captioned "Item 1A. Risk Factors." Any forward-looking statements are made based on management's current beliefs and judgment, and the reader is cautioned not to rely on any forward-looking statements made by Regeneron. We do not undertake any obligation to update publicly any forward-looking statement, including without limitation any financial projection or guidance, whether as a result of new information, future events, or otherwise.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uses non-GAAP net income, which is a financial measure that is not calculated in accordance with U.S. Generally Accepted Accounting Principles ("GAAP"). We believe that the presentation of this non-GAAP measure is useful to investors because it excludes (i) non-cash share-based compensation expense, which fluctuates from period to period based on factors that are not within the Company's control, such as the Company's stock price on the dates share-based grants are issued; (ii) the incremental charge recorded in the third quarter of 2014 related to the issuance of the final IRS regulations that provide guidance on the annual fee imposed by the Patient Protection and Affordable Care Act (the final IRS regulations differed from the temporary regulations issued in 2011 which resulted in the recognition of a catch-up adjustment); (iii) non-cash interest expense related to the Company's convertible senior notes, since this is not deemed useful in evaluating the Company's operating performance; (iv) loss on extinguishment of debt, since this non-cash charge is based on factors that are not within the Company's control; and (v) income tax expense for 2014, which was principally a non-cash expense due primarily to utilization of net operating loss and tax credit carryforwards, and deductions related to employee stock option exercises. In 2015, income tax expense adjustments consider the tax effect of reconciling items and an adjustment from GAAP tax expense to the amount of taxes that are paid or payable in cash in respect of the current period. As there is a significant difference between the Company's effective tax rate and actual cash income taxes paid or payable, GAAP income tax expense is not deemed useful in evaluating the Company's operating performance. Management uses these non-GAAP measures for planning, budgeting, forecasting, assessing historical performance, and making financial</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60" w:type="dxa"/>
            <w:vAlign w:val="bottom"/>
            <w:tcBorders>
              <w:right w:val="single" w:sz="8" w:color="183394"/>
            </w:tcBorders>
          </w:tcPr>
          <w:p>
            <w:pPr>
              <w:spacing w:after="0"/>
              <w:rPr>
                <w:sz w:val="21"/>
                <w:szCs w:val="21"/>
                <w:color w:val="auto"/>
              </w:rPr>
            </w:pPr>
          </w:p>
        </w:tc>
        <w:tc>
          <w:tcPr>
            <w:tcW w:w="7660" w:type="dxa"/>
            <w:vAlign w:val="bottom"/>
            <w:vMerge w:val="restart"/>
          </w:tcPr>
          <w:p>
            <w:pPr>
              <w:ind w:left="640"/>
              <w:spacing w:after="0"/>
              <w:rPr>
                <w:sz w:val="20"/>
                <w:szCs w:val="20"/>
                <w:color w:val="auto"/>
              </w:rPr>
            </w:pPr>
            <w:r>
              <w:rPr>
                <w:rFonts w:ascii="Arial" w:cs="Arial" w:eastAsia="Arial" w:hAnsi="Arial"/>
                <w:sz w:val="16"/>
                <w:szCs w:val="16"/>
                <w:color w:val="183394"/>
              </w:rPr>
              <w:t>Appendix A Note Regarding Forward-Looking Statements and Non-GAAP Financial Measures</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A-1</w:t>
            </w:r>
          </w:p>
        </w:tc>
        <w:tc>
          <w:tcPr>
            <w:tcW w:w="0" w:type="dxa"/>
            <w:vAlign w:val="bottom"/>
          </w:tcPr>
          <w:p>
            <w:pPr>
              <w:spacing w:after="0"/>
              <w:rPr>
                <w:sz w:val="1"/>
                <w:szCs w:val="1"/>
                <w:color w:val="auto"/>
              </w:rPr>
            </w:pPr>
          </w:p>
        </w:tc>
      </w:tr>
      <w:tr>
        <w:trPr>
          <w:trHeight w:val="66"/>
        </w:trPr>
        <w:tc>
          <w:tcPr>
            <w:tcW w:w="2760" w:type="dxa"/>
            <w:vAlign w:val="bottom"/>
            <w:tcBorders>
              <w:right w:val="single" w:sz="8" w:color="183394"/>
            </w:tcBorders>
          </w:tcPr>
          <w:p>
            <w:pPr>
              <w:spacing w:after="0"/>
              <w:rPr>
                <w:sz w:val="5"/>
                <w:szCs w:val="5"/>
                <w:color w:val="auto"/>
              </w:rPr>
            </w:pPr>
          </w:p>
        </w:tc>
        <w:tc>
          <w:tcPr>
            <w:tcW w:w="766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760" w:type="dxa"/>
            <w:vAlign w:val="bottom"/>
            <w:tcBorders>
              <w:bottom w:val="single" w:sz="8" w:color="808080"/>
            </w:tcBorders>
          </w:tcPr>
          <w:p>
            <w:pPr>
              <w:spacing w:after="0"/>
              <w:rPr>
                <w:sz w:val="9"/>
                <w:szCs w:val="9"/>
                <w:color w:val="auto"/>
              </w:rPr>
            </w:pPr>
          </w:p>
        </w:tc>
        <w:tc>
          <w:tcPr>
            <w:tcW w:w="7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9" w:name="page90"/>
    <w:bookmarkEnd w:id="89"/>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companies. Any non-GAAP financial measure presented by Regeneron should be considered supplemental to, and not a substitute for, measures of financial performance prepared in accordance with GAAP. A reconciliation of our GAAP to non-GAAP results is included below.</w:t>
      </w:r>
    </w:p>
    <w:p>
      <w:pPr>
        <w:spacing w:after="0" w:line="574"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GAAP Net Income to Non-GAAP Net Income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156"/>
        </w:trPr>
        <w:tc>
          <w:tcPr>
            <w:tcW w:w="6180" w:type="dxa"/>
            <w:vAlign w:val="bottom"/>
            <w:shd w:val="clear" w:color="auto" w:fill="5668B0"/>
          </w:tcPr>
          <w:p>
            <w:pPr>
              <w:spacing w:after="0"/>
              <w:rPr>
                <w:sz w:val="13"/>
                <w:szCs w:val="13"/>
                <w:color w:val="auto"/>
              </w:rPr>
            </w:pPr>
          </w:p>
        </w:tc>
        <w:tc>
          <w:tcPr>
            <w:tcW w:w="160" w:type="dxa"/>
            <w:vAlign w:val="bottom"/>
            <w:shd w:val="clear" w:color="auto" w:fill="5668B0"/>
          </w:tcPr>
          <w:p>
            <w:pPr>
              <w:spacing w:after="0"/>
              <w:rPr>
                <w:sz w:val="13"/>
                <w:szCs w:val="13"/>
                <w:color w:val="auto"/>
              </w:rPr>
            </w:pPr>
          </w:p>
        </w:tc>
        <w:tc>
          <w:tcPr>
            <w:tcW w:w="2080" w:type="dxa"/>
            <w:vAlign w:val="bottom"/>
            <w:gridSpan w:val="3"/>
            <w:shd w:val="clear" w:color="auto" w:fill="5668B0"/>
          </w:tcPr>
          <w:p>
            <w:pPr>
              <w:jc w:val="right"/>
              <w:ind w:right="639"/>
              <w:spacing w:after="0"/>
              <w:rPr>
                <w:sz w:val="20"/>
                <w:szCs w:val="20"/>
                <w:color w:val="auto"/>
              </w:rPr>
            </w:pPr>
            <w:r>
              <w:rPr>
                <w:rFonts w:ascii="Arial" w:cs="Arial" w:eastAsia="Arial" w:hAnsi="Arial"/>
                <w:sz w:val="13"/>
                <w:szCs w:val="13"/>
                <w:color w:val="FFFFFE"/>
              </w:rPr>
              <w:t>Year ended</w:t>
            </w:r>
          </w:p>
        </w:tc>
      </w:tr>
      <w:tr>
        <w:trPr>
          <w:trHeight w:val="154"/>
        </w:trPr>
        <w:tc>
          <w:tcPr>
            <w:tcW w:w="6180" w:type="dxa"/>
            <w:vAlign w:val="bottom"/>
            <w:shd w:val="clear" w:color="auto" w:fill="5668B0"/>
          </w:tcPr>
          <w:p>
            <w:pPr>
              <w:spacing w:after="0"/>
              <w:rPr>
                <w:sz w:val="13"/>
                <w:szCs w:val="13"/>
                <w:color w:val="auto"/>
              </w:rPr>
            </w:pPr>
          </w:p>
        </w:tc>
        <w:tc>
          <w:tcPr>
            <w:tcW w:w="160" w:type="dxa"/>
            <w:vAlign w:val="bottom"/>
            <w:shd w:val="clear" w:color="auto" w:fill="5668B0"/>
          </w:tcPr>
          <w:p>
            <w:pPr>
              <w:spacing w:after="0"/>
              <w:rPr>
                <w:sz w:val="13"/>
                <w:szCs w:val="13"/>
                <w:color w:val="auto"/>
              </w:rPr>
            </w:pPr>
          </w:p>
        </w:tc>
        <w:tc>
          <w:tcPr>
            <w:tcW w:w="2080" w:type="dxa"/>
            <w:vAlign w:val="bottom"/>
            <w:gridSpan w:val="3"/>
            <w:shd w:val="clear" w:color="auto" w:fill="5668B0"/>
          </w:tcPr>
          <w:p>
            <w:pPr>
              <w:jc w:val="right"/>
              <w:ind w:right="559"/>
              <w:spacing w:after="0" w:line="148" w:lineRule="exact"/>
              <w:rPr>
                <w:sz w:val="20"/>
                <w:szCs w:val="20"/>
                <w:color w:val="auto"/>
              </w:rPr>
            </w:pPr>
            <w:r>
              <w:rPr>
                <w:rFonts w:ascii="Arial" w:cs="Arial" w:eastAsia="Arial" w:hAnsi="Arial"/>
                <w:sz w:val="13"/>
                <w:szCs w:val="13"/>
                <w:color w:val="FFFFFE"/>
              </w:rPr>
              <w:t>December 31,</w:t>
            </w:r>
          </w:p>
        </w:tc>
      </w:tr>
      <w:tr>
        <w:trPr>
          <w:trHeight w:val="209"/>
        </w:trPr>
        <w:tc>
          <w:tcPr>
            <w:tcW w:w="6180" w:type="dxa"/>
            <w:vAlign w:val="bottom"/>
            <w:shd w:val="clear" w:color="auto" w:fill="5668B0"/>
          </w:tcPr>
          <w:p>
            <w:pPr>
              <w:spacing w:after="0"/>
              <w:rPr>
                <w:sz w:val="18"/>
                <w:szCs w:val="18"/>
                <w:color w:val="auto"/>
              </w:rPr>
            </w:pPr>
          </w:p>
        </w:tc>
        <w:tc>
          <w:tcPr>
            <w:tcW w:w="160" w:type="dxa"/>
            <w:vAlign w:val="bottom"/>
            <w:shd w:val="clear" w:color="auto" w:fill="5668B0"/>
          </w:tcPr>
          <w:p>
            <w:pPr>
              <w:spacing w:after="0"/>
              <w:rPr>
                <w:sz w:val="18"/>
                <w:szCs w:val="18"/>
                <w:color w:val="auto"/>
              </w:rPr>
            </w:pPr>
          </w:p>
        </w:tc>
        <w:tc>
          <w:tcPr>
            <w:tcW w:w="960" w:type="dxa"/>
            <w:vAlign w:val="bottom"/>
            <w:shd w:val="clear" w:color="auto" w:fill="5668B0"/>
          </w:tcPr>
          <w:p>
            <w:pPr>
              <w:jc w:val="right"/>
              <w:ind w:right="61"/>
              <w:spacing w:after="0"/>
              <w:rPr>
                <w:sz w:val="20"/>
                <w:szCs w:val="20"/>
                <w:color w:val="auto"/>
              </w:rPr>
            </w:pPr>
            <w:r>
              <w:rPr>
                <w:rFonts w:ascii="Arial" w:cs="Arial" w:eastAsia="Arial" w:hAnsi="Arial"/>
                <w:sz w:val="13"/>
                <w:szCs w:val="13"/>
                <w:color w:val="FFFFFE"/>
              </w:rPr>
              <w:t>2015</w:t>
            </w:r>
          </w:p>
        </w:tc>
        <w:tc>
          <w:tcPr>
            <w:tcW w:w="320" w:type="dxa"/>
            <w:vAlign w:val="bottom"/>
            <w:shd w:val="clear" w:color="auto" w:fill="5668B0"/>
          </w:tcPr>
          <w:p>
            <w:pPr>
              <w:spacing w:after="0"/>
              <w:rPr>
                <w:sz w:val="18"/>
                <w:szCs w:val="18"/>
                <w:color w:val="auto"/>
              </w:rPr>
            </w:pPr>
          </w:p>
        </w:tc>
        <w:tc>
          <w:tcPr>
            <w:tcW w:w="800" w:type="dxa"/>
            <w:vAlign w:val="bottom"/>
            <w:shd w:val="clear" w:color="auto" w:fill="5668B0"/>
          </w:tcPr>
          <w:p>
            <w:pPr>
              <w:jc w:val="right"/>
              <w:spacing w:after="0"/>
              <w:rPr>
                <w:sz w:val="20"/>
                <w:szCs w:val="20"/>
                <w:color w:val="auto"/>
              </w:rPr>
            </w:pPr>
            <w:r>
              <w:rPr>
                <w:rFonts w:ascii="Arial" w:cs="Arial" w:eastAsia="Arial" w:hAnsi="Arial"/>
                <w:sz w:val="13"/>
                <w:szCs w:val="13"/>
                <w:color w:val="FFFFFE"/>
              </w:rPr>
              <w:t>2014*</w:t>
            </w:r>
          </w:p>
        </w:tc>
      </w:tr>
      <w:tr>
        <w:trPr>
          <w:trHeight w:val="190"/>
        </w:trPr>
        <w:tc>
          <w:tcPr>
            <w:tcW w:w="6180" w:type="dxa"/>
            <w:vAlign w:val="bottom"/>
            <w:shd w:val="clear" w:color="auto" w:fill="E6ECF8"/>
          </w:tcPr>
          <w:p>
            <w:pPr>
              <w:ind w:left="20"/>
              <w:spacing w:after="0"/>
              <w:rPr>
                <w:sz w:val="20"/>
                <w:szCs w:val="20"/>
                <w:color w:val="auto"/>
              </w:rPr>
            </w:pPr>
            <w:r>
              <w:rPr>
                <w:rFonts w:ascii="Arial" w:cs="Arial" w:eastAsia="Arial" w:hAnsi="Arial"/>
                <w:sz w:val="16"/>
                <w:szCs w:val="16"/>
                <w:color w:val="auto"/>
              </w:rPr>
              <w:t>GAAP net income</w:t>
            </w:r>
          </w:p>
        </w:tc>
        <w:tc>
          <w:tcPr>
            <w:tcW w:w="160" w:type="dxa"/>
            <w:vAlign w:val="bottom"/>
            <w:shd w:val="clear" w:color="auto" w:fill="E6ECF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6ECF8"/>
          </w:tcPr>
          <w:p>
            <w:pPr>
              <w:jc w:val="right"/>
              <w:ind w:right="61"/>
              <w:spacing w:after="0"/>
              <w:rPr>
                <w:sz w:val="20"/>
                <w:szCs w:val="20"/>
                <w:color w:val="auto"/>
              </w:rPr>
            </w:pPr>
            <w:r>
              <w:rPr>
                <w:rFonts w:ascii="Arial" w:cs="Arial" w:eastAsia="Arial" w:hAnsi="Arial"/>
                <w:sz w:val="16"/>
                <w:szCs w:val="16"/>
                <w:color w:val="auto"/>
              </w:rPr>
              <w:t>636,056</w:t>
            </w:r>
          </w:p>
        </w:tc>
        <w:tc>
          <w:tcPr>
            <w:tcW w:w="3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338,126</w:t>
            </w:r>
          </w:p>
        </w:tc>
      </w:tr>
      <w:tr>
        <w:trPr>
          <w:trHeight w:val="190"/>
        </w:trPr>
        <w:tc>
          <w:tcPr>
            <w:tcW w:w="6180" w:type="dxa"/>
            <w:vAlign w:val="bottom"/>
            <w:shd w:val="clear" w:color="auto" w:fill="D0DBEF"/>
          </w:tcPr>
          <w:p>
            <w:pPr>
              <w:ind w:left="20"/>
              <w:spacing w:after="0"/>
              <w:rPr>
                <w:sz w:val="20"/>
                <w:szCs w:val="20"/>
                <w:color w:val="auto"/>
              </w:rPr>
            </w:pPr>
            <w:r>
              <w:rPr>
                <w:rFonts w:ascii="Arial" w:cs="Arial" w:eastAsia="Arial" w:hAnsi="Arial"/>
                <w:sz w:val="16"/>
                <w:szCs w:val="16"/>
                <w:i w:val="1"/>
                <w:iCs w:val="1"/>
                <w:color w:val="auto"/>
              </w:rPr>
              <w:t>Adjustments:</w:t>
            </w:r>
          </w:p>
        </w:tc>
        <w:tc>
          <w:tcPr>
            <w:tcW w:w="160" w:type="dxa"/>
            <w:vAlign w:val="bottom"/>
            <w:shd w:val="clear" w:color="auto" w:fill="D0DBEF"/>
          </w:tcPr>
          <w:p>
            <w:pPr>
              <w:spacing w:after="0"/>
              <w:rPr>
                <w:sz w:val="16"/>
                <w:szCs w:val="16"/>
                <w:color w:val="auto"/>
              </w:rPr>
            </w:pPr>
          </w:p>
        </w:tc>
        <w:tc>
          <w:tcPr>
            <w:tcW w:w="960" w:type="dxa"/>
            <w:vAlign w:val="bottom"/>
            <w:shd w:val="clear" w:color="auto" w:fill="D0DBEF"/>
          </w:tcPr>
          <w:p>
            <w:pPr>
              <w:spacing w:after="0"/>
              <w:rPr>
                <w:sz w:val="16"/>
                <w:szCs w:val="16"/>
                <w:color w:val="auto"/>
              </w:rPr>
            </w:pPr>
          </w:p>
        </w:tc>
        <w:tc>
          <w:tcPr>
            <w:tcW w:w="320" w:type="dxa"/>
            <w:vAlign w:val="bottom"/>
            <w:shd w:val="clear" w:color="auto" w:fill="D0DBEF"/>
          </w:tcPr>
          <w:p>
            <w:pPr>
              <w:spacing w:after="0"/>
              <w:rPr>
                <w:sz w:val="16"/>
                <w:szCs w:val="16"/>
                <w:color w:val="auto"/>
              </w:rPr>
            </w:pPr>
          </w:p>
        </w:tc>
        <w:tc>
          <w:tcPr>
            <w:tcW w:w="800" w:type="dxa"/>
            <w:vAlign w:val="bottom"/>
            <w:shd w:val="clear" w:color="auto" w:fill="D0DBEF"/>
          </w:tcPr>
          <w:p>
            <w:pPr>
              <w:spacing w:after="0"/>
              <w:rPr>
                <w:sz w:val="16"/>
                <w:szCs w:val="16"/>
                <w:color w:val="auto"/>
              </w:rPr>
            </w:pPr>
          </w:p>
        </w:tc>
      </w:tr>
      <w:tr>
        <w:trPr>
          <w:trHeight w:val="190"/>
        </w:trPr>
        <w:tc>
          <w:tcPr>
            <w:tcW w:w="6180" w:type="dxa"/>
            <w:vAlign w:val="bottom"/>
            <w:shd w:val="clear" w:color="auto" w:fill="E6ECF8"/>
          </w:tcPr>
          <w:p>
            <w:pPr>
              <w:ind w:left="20"/>
              <w:spacing w:after="0"/>
              <w:rPr>
                <w:sz w:val="20"/>
                <w:szCs w:val="20"/>
                <w:color w:val="auto"/>
              </w:rPr>
            </w:pPr>
            <w:r>
              <w:rPr>
                <w:rFonts w:ascii="Arial" w:cs="Arial" w:eastAsia="Arial" w:hAnsi="Arial"/>
                <w:sz w:val="16"/>
                <w:szCs w:val="16"/>
                <w:color w:val="auto"/>
              </w:rPr>
              <w:t>R&amp;D: Non-cash share-based compensation expense</w:t>
            </w:r>
          </w:p>
        </w:tc>
        <w:tc>
          <w:tcPr>
            <w:tcW w:w="160" w:type="dxa"/>
            <w:vAlign w:val="bottom"/>
            <w:shd w:val="clear" w:color="auto" w:fill="E6ECF8"/>
          </w:tcPr>
          <w:p>
            <w:pPr>
              <w:spacing w:after="0"/>
              <w:rPr>
                <w:sz w:val="16"/>
                <w:szCs w:val="16"/>
                <w:color w:val="auto"/>
              </w:rPr>
            </w:pPr>
          </w:p>
        </w:tc>
        <w:tc>
          <w:tcPr>
            <w:tcW w:w="960" w:type="dxa"/>
            <w:vAlign w:val="bottom"/>
            <w:shd w:val="clear" w:color="auto" w:fill="E6ECF8"/>
          </w:tcPr>
          <w:p>
            <w:pPr>
              <w:jc w:val="right"/>
              <w:ind w:right="61"/>
              <w:spacing w:after="0"/>
              <w:rPr>
                <w:sz w:val="20"/>
                <w:szCs w:val="20"/>
                <w:color w:val="auto"/>
              </w:rPr>
            </w:pPr>
            <w:r>
              <w:rPr>
                <w:rFonts w:ascii="Arial" w:cs="Arial" w:eastAsia="Arial" w:hAnsi="Arial"/>
                <w:sz w:val="16"/>
                <w:szCs w:val="16"/>
                <w:color w:val="auto"/>
              </w:rPr>
              <w:t>255,708</w:t>
            </w:r>
          </w:p>
        </w:tc>
        <w:tc>
          <w:tcPr>
            <w:tcW w:w="320" w:type="dxa"/>
            <w:vAlign w:val="bottom"/>
            <w:shd w:val="clear" w:color="auto" w:fill="E6ECF8"/>
          </w:tcPr>
          <w:p>
            <w:pPr>
              <w:spacing w:after="0"/>
              <w:rPr>
                <w:sz w:val="16"/>
                <w:szCs w:val="16"/>
                <w:color w:val="auto"/>
              </w:rPr>
            </w:pPr>
          </w:p>
        </w:tc>
        <w:tc>
          <w:tcPr>
            <w:tcW w:w="8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184,347</w:t>
            </w:r>
          </w:p>
        </w:tc>
      </w:tr>
      <w:tr>
        <w:trPr>
          <w:trHeight w:val="190"/>
        </w:trPr>
        <w:tc>
          <w:tcPr>
            <w:tcW w:w="6180" w:type="dxa"/>
            <w:vAlign w:val="bottom"/>
            <w:shd w:val="clear" w:color="auto" w:fill="D0DBEF"/>
          </w:tcPr>
          <w:p>
            <w:pPr>
              <w:ind w:left="20"/>
              <w:spacing w:after="0"/>
              <w:rPr>
                <w:sz w:val="20"/>
                <w:szCs w:val="20"/>
                <w:color w:val="auto"/>
              </w:rPr>
            </w:pPr>
            <w:r>
              <w:rPr>
                <w:rFonts w:ascii="Arial" w:cs="Arial" w:eastAsia="Arial" w:hAnsi="Arial"/>
                <w:sz w:val="16"/>
                <w:szCs w:val="16"/>
                <w:color w:val="auto"/>
              </w:rPr>
              <w:t>SG&amp;A: Non-cash share-based compensation expense</w:t>
            </w:r>
          </w:p>
        </w:tc>
        <w:tc>
          <w:tcPr>
            <w:tcW w:w="160" w:type="dxa"/>
            <w:vAlign w:val="bottom"/>
            <w:shd w:val="clear" w:color="auto" w:fill="D0DBEF"/>
          </w:tcPr>
          <w:p>
            <w:pPr>
              <w:spacing w:after="0"/>
              <w:rPr>
                <w:sz w:val="16"/>
                <w:szCs w:val="16"/>
                <w:color w:val="auto"/>
              </w:rPr>
            </w:pPr>
          </w:p>
        </w:tc>
        <w:tc>
          <w:tcPr>
            <w:tcW w:w="960" w:type="dxa"/>
            <w:vAlign w:val="bottom"/>
            <w:shd w:val="clear" w:color="auto" w:fill="D0DBEF"/>
          </w:tcPr>
          <w:p>
            <w:pPr>
              <w:jc w:val="right"/>
              <w:ind w:right="61"/>
              <w:spacing w:after="0"/>
              <w:rPr>
                <w:sz w:val="20"/>
                <w:szCs w:val="20"/>
                <w:color w:val="auto"/>
              </w:rPr>
            </w:pPr>
            <w:r>
              <w:rPr>
                <w:rFonts w:ascii="Arial" w:cs="Arial" w:eastAsia="Arial" w:hAnsi="Arial"/>
                <w:sz w:val="16"/>
                <w:szCs w:val="16"/>
                <w:color w:val="auto"/>
              </w:rPr>
              <w:t>193,026</w:t>
            </w:r>
          </w:p>
        </w:tc>
        <w:tc>
          <w:tcPr>
            <w:tcW w:w="320" w:type="dxa"/>
            <w:vAlign w:val="bottom"/>
            <w:shd w:val="clear" w:color="auto" w:fill="D0DBEF"/>
          </w:tcPr>
          <w:p>
            <w:pPr>
              <w:spacing w:after="0"/>
              <w:rPr>
                <w:sz w:val="16"/>
                <w:szCs w:val="16"/>
                <w:color w:val="auto"/>
              </w:rPr>
            </w:pPr>
          </w:p>
        </w:tc>
        <w:tc>
          <w:tcPr>
            <w:tcW w:w="8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134,715</w:t>
            </w:r>
          </w:p>
        </w:tc>
      </w:tr>
      <w:tr>
        <w:trPr>
          <w:trHeight w:val="190"/>
        </w:trPr>
        <w:tc>
          <w:tcPr>
            <w:tcW w:w="6180" w:type="dxa"/>
            <w:vAlign w:val="bottom"/>
            <w:shd w:val="clear" w:color="auto" w:fill="E6ECF8"/>
          </w:tcPr>
          <w:p>
            <w:pPr>
              <w:ind w:left="20"/>
              <w:spacing w:after="0"/>
              <w:rPr>
                <w:sz w:val="20"/>
                <w:szCs w:val="20"/>
                <w:color w:val="auto"/>
              </w:rPr>
            </w:pPr>
            <w:r>
              <w:rPr>
                <w:rFonts w:ascii="Arial" w:cs="Arial" w:eastAsia="Arial" w:hAnsi="Arial"/>
                <w:sz w:val="16"/>
                <w:szCs w:val="16"/>
                <w:color w:val="auto"/>
              </w:rPr>
              <w:t>SG&amp;A: Branded Prescription Drug Fee incremental charge</w:t>
            </w:r>
          </w:p>
        </w:tc>
        <w:tc>
          <w:tcPr>
            <w:tcW w:w="160" w:type="dxa"/>
            <w:vAlign w:val="bottom"/>
            <w:shd w:val="clear" w:color="auto" w:fill="E6ECF8"/>
          </w:tcPr>
          <w:p>
            <w:pPr>
              <w:spacing w:after="0"/>
              <w:rPr>
                <w:sz w:val="16"/>
                <w:szCs w:val="16"/>
                <w:color w:val="auto"/>
              </w:rPr>
            </w:pPr>
          </w:p>
        </w:tc>
        <w:tc>
          <w:tcPr>
            <w:tcW w:w="960" w:type="dxa"/>
            <w:vAlign w:val="bottom"/>
            <w:shd w:val="clear" w:color="auto" w:fill="E6ECF8"/>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shd w:val="clear" w:color="auto" w:fill="E6ECF8"/>
          </w:tcPr>
          <w:p>
            <w:pPr>
              <w:spacing w:after="0"/>
              <w:rPr>
                <w:sz w:val="16"/>
                <w:szCs w:val="16"/>
                <w:color w:val="auto"/>
              </w:rPr>
            </w:pPr>
          </w:p>
        </w:tc>
        <w:tc>
          <w:tcPr>
            <w:tcW w:w="8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40,600</w:t>
            </w:r>
          </w:p>
        </w:tc>
      </w:tr>
      <w:tr>
        <w:trPr>
          <w:trHeight w:val="190"/>
        </w:trPr>
        <w:tc>
          <w:tcPr>
            <w:tcW w:w="6180" w:type="dxa"/>
            <w:vAlign w:val="bottom"/>
            <w:shd w:val="clear" w:color="auto" w:fill="D0DBEF"/>
          </w:tcPr>
          <w:p>
            <w:pPr>
              <w:ind w:left="20"/>
              <w:spacing w:after="0"/>
              <w:rPr>
                <w:sz w:val="20"/>
                <w:szCs w:val="20"/>
                <w:color w:val="auto"/>
              </w:rPr>
            </w:pPr>
            <w:r>
              <w:rPr>
                <w:rFonts w:ascii="Arial" w:cs="Arial" w:eastAsia="Arial" w:hAnsi="Arial"/>
                <w:sz w:val="16"/>
                <w:szCs w:val="16"/>
                <w:color w:val="auto"/>
              </w:rPr>
              <w:t>COGS and COCM: Non-cash share-based compensation expense</w:t>
            </w:r>
          </w:p>
        </w:tc>
        <w:tc>
          <w:tcPr>
            <w:tcW w:w="160" w:type="dxa"/>
            <w:vAlign w:val="bottom"/>
            <w:shd w:val="clear" w:color="auto" w:fill="D0DBEF"/>
          </w:tcPr>
          <w:p>
            <w:pPr>
              <w:spacing w:after="0"/>
              <w:rPr>
                <w:sz w:val="16"/>
                <w:szCs w:val="16"/>
                <w:color w:val="auto"/>
              </w:rPr>
            </w:pPr>
          </w:p>
        </w:tc>
        <w:tc>
          <w:tcPr>
            <w:tcW w:w="960" w:type="dxa"/>
            <w:vAlign w:val="bottom"/>
            <w:shd w:val="clear" w:color="auto" w:fill="D0DBEF"/>
          </w:tcPr>
          <w:p>
            <w:pPr>
              <w:jc w:val="right"/>
              <w:ind w:right="61"/>
              <w:spacing w:after="0"/>
              <w:rPr>
                <w:sz w:val="20"/>
                <w:szCs w:val="20"/>
                <w:color w:val="auto"/>
              </w:rPr>
            </w:pPr>
            <w:r>
              <w:rPr>
                <w:rFonts w:ascii="Arial" w:cs="Arial" w:eastAsia="Arial" w:hAnsi="Arial"/>
                <w:sz w:val="16"/>
                <w:szCs w:val="16"/>
                <w:color w:val="auto"/>
              </w:rPr>
              <w:t>10,315</w:t>
            </w:r>
          </w:p>
        </w:tc>
        <w:tc>
          <w:tcPr>
            <w:tcW w:w="320" w:type="dxa"/>
            <w:vAlign w:val="bottom"/>
            <w:shd w:val="clear" w:color="auto" w:fill="D0DBEF"/>
          </w:tcPr>
          <w:p>
            <w:pPr>
              <w:spacing w:after="0"/>
              <w:rPr>
                <w:sz w:val="16"/>
                <w:szCs w:val="16"/>
                <w:color w:val="auto"/>
              </w:rPr>
            </w:pPr>
          </w:p>
        </w:tc>
        <w:tc>
          <w:tcPr>
            <w:tcW w:w="8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2,688</w:t>
            </w:r>
          </w:p>
        </w:tc>
      </w:tr>
      <w:tr>
        <w:trPr>
          <w:trHeight w:val="190"/>
        </w:trPr>
        <w:tc>
          <w:tcPr>
            <w:tcW w:w="6180" w:type="dxa"/>
            <w:vAlign w:val="bottom"/>
            <w:shd w:val="clear" w:color="auto" w:fill="E6ECF8"/>
          </w:tcPr>
          <w:p>
            <w:pPr>
              <w:ind w:left="20"/>
              <w:spacing w:after="0"/>
              <w:rPr>
                <w:sz w:val="20"/>
                <w:szCs w:val="20"/>
                <w:color w:val="auto"/>
              </w:rPr>
            </w:pPr>
            <w:r>
              <w:rPr>
                <w:rFonts w:ascii="Arial" w:cs="Arial" w:eastAsia="Arial" w:hAnsi="Arial"/>
                <w:sz w:val="16"/>
                <w:szCs w:val="16"/>
                <w:color w:val="auto"/>
              </w:rPr>
              <w:t>Interest expense: Non-cash interest related to convertible senior notes</w:t>
            </w:r>
          </w:p>
        </w:tc>
        <w:tc>
          <w:tcPr>
            <w:tcW w:w="160" w:type="dxa"/>
            <w:vAlign w:val="bottom"/>
            <w:shd w:val="clear" w:color="auto" w:fill="E6ECF8"/>
          </w:tcPr>
          <w:p>
            <w:pPr>
              <w:spacing w:after="0"/>
              <w:rPr>
                <w:sz w:val="16"/>
                <w:szCs w:val="16"/>
                <w:color w:val="auto"/>
              </w:rPr>
            </w:pPr>
          </w:p>
        </w:tc>
        <w:tc>
          <w:tcPr>
            <w:tcW w:w="960" w:type="dxa"/>
            <w:vAlign w:val="bottom"/>
            <w:shd w:val="clear" w:color="auto" w:fill="E6ECF8"/>
          </w:tcPr>
          <w:p>
            <w:pPr>
              <w:jc w:val="right"/>
              <w:ind w:right="61"/>
              <w:spacing w:after="0"/>
              <w:rPr>
                <w:sz w:val="20"/>
                <w:szCs w:val="20"/>
                <w:color w:val="auto"/>
              </w:rPr>
            </w:pPr>
            <w:r>
              <w:rPr>
                <w:rFonts w:ascii="Arial" w:cs="Arial" w:eastAsia="Arial" w:hAnsi="Arial"/>
                <w:sz w:val="16"/>
                <w:szCs w:val="16"/>
                <w:color w:val="auto"/>
              </w:rPr>
              <w:t>2,818</w:t>
            </w:r>
          </w:p>
        </w:tc>
        <w:tc>
          <w:tcPr>
            <w:tcW w:w="320" w:type="dxa"/>
            <w:vAlign w:val="bottom"/>
            <w:shd w:val="clear" w:color="auto" w:fill="E6ECF8"/>
          </w:tcPr>
          <w:p>
            <w:pPr>
              <w:spacing w:after="0"/>
              <w:rPr>
                <w:sz w:val="16"/>
                <w:szCs w:val="16"/>
                <w:color w:val="auto"/>
              </w:rPr>
            </w:pPr>
          </w:p>
        </w:tc>
        <w:tc>
          <w:tcPr>
            <w:tcW w:w="8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17,821</w:t>
            </w:r>
          </w:p>
        </w:tc>
      </w:tr>
      <w:tr>
        <w:trPr>
          <w:trHeight w:val="190"/>
        </w:trPr>
        <w:tc>
          <w:tcPr>
            <w:tcW w:w="6180" w:type="dxa"/>
            <w:vAlign w:val="bottom"/>
            <w:shd w:val="clear" w:color="auto" w:fill="D0DBEF"/>
          </w:tcPr>
          <w:p>
            <w:pPr>
              <w:ind w:left="20"/>
              <w:spacing w:after="0"/>
              <w:rPr>
                <w:sz w:val="20"/>
                <w:szCs w:val="20"/>
                <w:color w:val="auto"/>
              </w:rPr>
            </w:pPr>
            <w:r>
              <w:rPr>
                <w:rFonts w:ascii="Arial" w:cs="Arial" w:eastAsia="Arial" w:hAnsi="Arial"/>
                <w:sz w:val="16"/>
                <w:szCs w:val="16"/>
                <w:color w:val="auto"/>
              </w:rPr>
              <w:t>Other expense: Loss on extinguishment of debt</w:t>
            </w:r>
          </w:p>
        </w:tc>
        <w:tc>
          <w:tcPr>
            <w:tcW w:w="160" w:type="dxa"/>
            <w:vAlign w:val="bottom"/>
            <w:shd w:val="clear" w:color="auto" w:fill="D0DBEF"/>
          </w:tcPr>
          <w:p>
            <w:pPr>
              <w:spacing w:after="0"/>
              <w:rPr>
                <w:sz w:val="16"/>
                <w:szCs w:val="16"/>
                <w:color w:val="auto"/>
              </w:rPr>
            </w:pPr>
          </w:p>
        </w:tc>
        <w:tc>
          <w:tcPr>
            <w:tcW w:w="960" w:type="dxa"/>
            <w:vAlign w:val="bottom"/>
            <w:shd w:val="clear" w:color="auto" w:fill="D0DBEF"/>
          </w:tcPr>
          <w:p>
            <w:pPr>
              <w:jc w:val="right"/>
              <w:ind w:right="61"/>
              <w:spacing w:after="0"/>
              <w:rPr>
                <w:sz w:val="20"/>
                <w:szCs w:val="20"/>
                <w:color w:val="auto"/>
              </w:rPr>
            </w:pPr>
            <w:r>
              <w:rPr>
                <w:rFonts w:ascii="Arial" w:cs="Arial" w:eastAsia="Arial" w:hAnsi="Arial"/>
                <w:sz w:val="16"/>
                <w:szCs w:val="16"/>
                <w:color w:val="auto"/>
              </w:rPr>
              <w:t>18,861</w:t>
            </w:r>
          </w:p>
        </w:tc>
        <w:tc>
          <w:tcPr>
            <w:tcW w:w="320" w:type="dxa"/>
            <w:vAlign w:val="bottom"/>
            <w:shd w:val="clear" w:color="auto" w:fill="D0DBEF"/>
          </w:tcPr>
          <w:p>
            <w:pPr>
              <w:spacing w:after="0"/>
              <w:rPr>
                <w:sz w:val="16"/>
                <w:szCs w:val="16"/>
                <w:color w:val="auto"/>
              </w:rPr>
            </w:pPr>
          </w:p>
        </w:tc>
        <w:tc>
          <w:tcPr>
            <w:tcW w:w="8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33,469</w:t>
            </w:r>
          </w:p>
        </w:tc>
      </w:tr>
      <w:tr>
        <w:trPr>
          <w:trHeight w:val="190"/>
        </w:trPr>
        <w:tc>
          <w:tcPr>
            <w:tcW w:w="6180" w:type="dxa"/>
            <w:vAlign w:val="bottom"/>
            <w:tcBorders>
              <w:bottom w:val="single" w:sz="8" w:color="5668B0"/>
            </w:tcBorders>
            <w:shd w:val="clear" w:color="auto" w:fill="E6ECF8"/>
          </w:tcPr>
          <w:p>
            <w:pPr>
              <w:ind w:left="20"/>
              <w:spacing w:after="0"/>
              <w:rPr>
                <w:sz w:val="20"/>
                <w:szCs w:val="20"/>
                <w:color w:val="auto"/>
              </w:rPr>
            </w:pPr>
            <w:r>
              <w:rPr>
                <w:rFonts w:ascii="Arial" w:cs="Arial" w:eastAsia="Arial" w:hAnsi="Arial"/>
                <w:sz w:val="16"/>
                <w:szCs w:val="16"/>
                <w:color w:val="auto"/>
              </w:rPr>
              <w:t>Non-cash income taxes</w:t>
            </w:r>
          </w:p>
        </w:tc>
        <w:tc>
          <w:tcPr>
            <w:tcW w:w="160" w:type="dxa"/>
            <w:vAlign w:val="bottom"/>
            <w:tcBorders>
              <w:bottom w:val="single" w:sz="8" w:color="5668B0"/>
            </w:tcBorders>
            <w:shd w:val="clear" w:color="auto" w:fill="E6ECF8"/>
          </w:tcPr>
          <w:p>
            <w:pPr>
              <w:spacing w:after="0"/>
              <w:rPr>
                <w:sz w:val="16"/>
                <w:szCs w:val="16"/>
                <w:color w:val="auto"/>
              </w:rPr>
            </w:pPr>
          </w:p>
        </w:tc>
        <w:tc>
          <w:tcPr>
            <w:tcW w:w="960" w:type="dxa"/>
            <w:vAlign w:val="bottom"/>
            <w:tcBorders>
              <w:bottom w:val="single" w:sz="8" w:color="5668B0"/>
            </w:tcBorders>
            <w:shd w:val="clear" w:color="auto" w:fill="E6ECF8"/>
          </w:tcPr>
          <w:p>
            <w:pPr>
              <w:jc w:val="right"/>
              <w:ind w:right="61"/>
              <w:spacing w:after="0"/>
              <w:rPr>
                <w:sz w:val="20"/>
                <w:szCs w:val="20"/>
                <w:color w:val="auto"/>
              </w:rPr>
            </w:pPr>
            <w:r>
              <w:rPr>
                <w:rFonts w:ascii="Arial" w:cs="Arial" w:eastAsia="Arial" w:hAnsi="Arial"/>
                <w:sz w:val="16"/>
                <w:szCs w:val="16"/>
                <w:color w:val="auto"/>
              </w:rPr>
              <w:t>287,110</w:t>
            </w:r>
          </w:p>
        </w:tc>
        <w:tc>
          <w:tcPr>
            <w:tcW w:w="320" w:type="dxa"/>
            <w:vAlign w:val="bottom"/>
            <w:tcBorders>
              <w:bottom w:val="single" w:sz="8" w:color="5668B0"/>
            </w:tcBorders>
            <w:shd w:val="clear" w:color="auto" w:fill="E6ECF8"/>
          </w:tcPr>
          <w:p>
            <w:pPr>
              <w:spacing w:after="0"/>
              <w:rPr>
                <w:sz w:val="16"/>
                <w:szCs w:val="16"/>
                <w:color w:val="auto"/>
              </w:rPr>
            </w:pPr>
          </w:p>
        </w:tc>
        <w:tc>
          <w:tcPr>
            <w:tcW w:w="800" w:type="dxa"/>
            <w:vAlign w:val="bottom"/>
            <w:tcBorders>
              <w:bottom w:val="single" w:sz="8" w:color="5668B0"/>
            </w:tcBorders>
            <w:shd w:val="clear" w:color="auto" w:fill="E6ECF8"/>
          </w:tcPr>
          <w:p>
            <w:pPr>
              <w:jc w:val="right"/>
              <w:spacing w:after="0"/>
              <w:rPr>
                <w:sz w:val="20"/>
                <w:szCs w:val="20"/>
                <w:color w:val="auto"/>
              </w:rPr>
            </w:pPr>
            <w:r>
              <w:rPr>
                <w:rFonts w:ascii="Arial" w:cs="Arial" w:eastAsia="Arial" w:hAnsi="Arial"/>
                <w:sz w:val="16"/>
                <w:szCs w:val="16"/>
                <w:color w:val="auto"/>
              </w:rPr>
              <w:t>423,109</w:t>
            </w:r>
          </w:p>
        </w:tc>
      </w:tr>
      <w:tr>
        <w:trPr>
          <w:trHeight w:val="182"/>
        </w:trPr>
        <w:tc>
          <w:tcPr>
            <w:tcW w:w="6180" w:type="dxa"/>
            <w:vAlign w:val="bottom"/>
            <w:tcBorders>
              <w:bottom w:val="single" w:sz="8" w:color="5668B0"/>
            </w:tcBorders>
            <w:shd w:val="clear" w:color="auto" w:fill="D0DBEF"/>
          </w:tcPr>
          <w:p>
            <w:pPr>
              <w:ind w:left="180"/>
              <w:spacing w:after="0" w:line="182" w:lineRule="exact"/>
              <w:rPr>
                <w:sz w:val="20"/>
                <w:szCs w:val="20"/>
                <w:color w:val="auto"/>
              </w:rPr>
            </w:pPr>
            <w:r>
              <w:rPr>
                <w:rFonts w:ascii="Arial" w:cs="Arial" w:eastAsia="Arial" w:hAnsi="Arial"/>
                <w:sz w:val="16"/>
                <w:szCs w:val="16"/>
                <w:color w:val="auto"/>
              </w:rPr>
              <w:t>Non-GAAP net income</w:t>
            </w:r>
          </w:p>
        </w:tc>
        <w:tc>
          <w:tcPr>
            <w:tcW w:w="160" w:type="dxa"/>
            <w:vAlign w:val="bottom"/>
            <w:tcBorders>
              <w:bottom w:val="single" w:sz="8" w:color="5668B0"/>
            </w:tcBorders>
            <w:shd w:val="clear" w:color="auto" w:fill="D0DBEF"/>
          </w:tcPr>
          <w:p>
            <w:pPr>
              <w:jc w:val="right"/>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5668B0"/>
            </w:tcBorders>
            <w:shd w:val="clear" w:color="auto" w:fill="D0DBEF"/>
          </w:tcPr>
          <w:p>
            <w:pPr>
              <w:jc w:val="right"/>
              <w:ind w:right="61"/>
              <w:spacing w:after="0" w:line="182" w:lineRule="exact"/>
              <w:rPr>
                <w:sz w:val="20"/>
                <w:szCs w:val="20"/>
                <w:color w:val="auto"/>
              </w:rPr>
            </w:pPr>
            <w:r>
              <w:rPr>
                <w:rFonts w:ascii="Arial" w:cs="Arial" w:eastAsia="Arial" w:hAnsi="Arial"/>
                <w:sz w:val="16"/>
                <w:szCs w:val="16"/>
                <w:color w:val="auto"/>
              </w:rPr>
              <w:t>1,403,894</w:t>
            </w:r>
          </w:p>
        </w:tc>
        <w:tc>
          <w:tcPr>
            <w:tcW w:w="320" w:type="dxa"/>
            <w:vAlign w:val="bottom"/>
            <w:tcBorders>
              <w:bottom w:val="single" w:sz="8" w:color="5668B0"/>
            </w:tcBorders>
            <w:shd w:val="clear" w:color="auto" w:fill="D0DBEF"/>
          </w:tcPr>
          <w:p>
            <w:pPr>
              <w:jc w:val="right"/>
              <w:spacing w:after="0" w:line="182"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5668B0"/>
            </w:tcBorders>
            <w:shd w:val="clear" w:color="auto" w:fill="D0DBEF"/>
          </w:tcPr>
          <w:p>
            <w:pPr>
              <w:jc w:val="right"/>
              <w:spacing w:after="0" w:line="182" w:lineRule="exact"/>
              <w:rPr>
                <w:sz w:val="20"/>
                <w:szCs w:val="20"/>
                <w:color w:val="auto"/>
              </w:rPr>
            </w:pPr>
            <w:r>
              <w:rPr>
                <w:rFonts w:ascii="Arial" w:cs="Arial" w:eastAsia="Arial" w:hAnsi="Arial"/>
                <w:sz w:val="16"/>
                <w:szCs w:val="16"/>
                <w:color w:val="auto"/>
              </w:rPr>
              <w:t>1,174,875</w:t>
            </w:r>
          </w:p>
        </w:tc>
      </w:tr>
    </w:tbl>
    <w:p>
      <w:pPr>
        <w:spacing w:after="0" w:line="207" w:lineRule="exact"/>
        <w:rPr>
          <w:sz w:val="20"/>
          <w:szCs w:val="20"/>
          <w:color w:val="auto"/>
        </w:rPr>
      </w:pPr>
    </w:p>
    <w:p>
      <w:pPr>
        <w:ind w:left="1880" w:hanging="508"/>
        <w:spacing w:after="0" w:line="263" w:lineRule="auto"/>
        <w:tabs>
          <w:tab w:leader="none" w:pos="1880" w:val="left"/>
        </w:tabs>
        <w:numPr>
          <w:ilvl w:val="0"/>
          <w:numId w:val="131"/>
        </w:numPr>
        <w:rPr>
          <w:rFonts w:ascii="Arial" w:cs="Arial" w:eastAsia="Arial" w:hAnsi="Arial"/>
          <w:sz w:val="13"/>
          <w:szCs w:val="13"/>
          <w:color w:val="5668B0"/>
        </w:rPr>
      </w:pPr>
      <w:r>
        <w:rPr>
          <w:rFonts w:ascii="Arial" w:cs="Arial" w:eastAsia="Arial" w:hAnsi="Arial"/>
          <w:sz w:val="13"/>
          <w:szCs w:val="13"/>
          <w:color w:val="auto"/>
        </w:rPr>
        <w:t>Certain revisions have been made to the amounts originally reported for the year ended December 31, 2014 (see Note 1 to the Company's audited financial statements for the fiscal year ended December 31, 2015 included in its Annual Report on Form 10-K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642620" cy="1930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110490</wp:posOffset>
            </wp:positionV>
            <wp:extent cx="8255" cy="1930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18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32"/>
          <w:szCs w:val="32"/>
          <w:b w:val="1"/>
          <w:bCs w:val="1"/>
          <w:color w:val="FFFFFF"/>
          <w:vertAlign w:val="superscript"/>
        </w:rPr>
        <w:t>A-2</w:t>
      </w:r>
      <w:r>
        <w:rPr>
          <w:sz w:val="20"/>
          <w:szCs w:val="20"/>
          <w:color w:val="auto"/>
        </w:rPr>
        <w:tab/>
      </w:r>
      <w:r>
        <w:rPr>
          <w:rFonts w:ascii="Arial" w:cs="Arial" w:eastAsia="Arial" w:hAnsi="Arial"/>
          <w:sz w:val="16"/>
          <w:szCs w:val="16"/>
          <w:color w:val="183394"/>
        </w:rPr>
        <w:t>Appendix A Note Regarding Forward-Looking Statements and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995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2390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23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5361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53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699770</wp:posOffset>
            </wp:positionH>
            <wp:positionV relativeFrom="page">
              <wp:posOffset>88900</wp:posOffset>
            </wp:positionV>
            <wp:extent cx="6170295" cy="7994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6170295" cy="799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699770</wp:posOffset>
            </wp:positionH>
            <wp:positionV relativeFrom="page">
              <wp:posOffset>88900</wp:posOffset>
            </wp:positionV>
            <wp:extent cx="6170295" cy="80105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6170295" cy="8010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o"/>
      <w:numFmt w:val="bullet"/>
      <w:start w:val="1"/>
    </w:lvl>
    <w:lvl w:ilvl="1">
      <w:lvlJc w:val="left"/>
      <w:lvlText w:val="(%2)"/>
      <w:numFmt w:val="decimal"/>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1"/>
      <w:numFmt w:val="lowerRoman"/>
      <w:start w:val="2"/>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2"/>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o"/>
      <w:numFmt w:val="bullet"/>
      <w:start w:val="1"/>
    </w:lvl>
  </w:abstractNum>
  <w:abstractNum w:abstractNumId="10">
    <w:nsid w:val="799D0247"/>
    <w:multiLevelType w:val="hybridMultilevel"/>
    <w:lvl w:ilvl="0">
      <w:lvlJc w:val="left"/>
      <w:lvlText w:val="•"/>
      <w:numFmt w:val="bullet"/>
      <w:start w:val="1"/>
    </w:lvl>
    <w:lvl w:ilvl="1">
      <w:lvlJc w:val="left"/>
      <w:lvlText w:val="o"/>
      <w:numFmt w:val="bullet"/>
      <w:start w:val="1"/>
    </w:lvl>
  </w:abstractNum>
  <w:abstractNum w:abstractNumId="11">
    <w:nsid w:val="6B94764"/>
    <w:multiLevelType w:val="hybridMultilevel"/>
    <w:lvl w:ilvl="0">
      <w:lvlJc w:val="left"/>
      <w:lvlText w:val="o"/>
      <w:numFmt w:val="bullet"/>
      <w:start w:val="1"/>
    </w:lvl>
  </w:abstractNum>
  <w:abstractNum w:abstractNumId="12">
    <w:nsid w:val="42C296BD"/>
    <w:multiLevelType w:val="hybridMultilevel"/>
    <w:lvl w:ilvl="0">
      <w:lvlJc w:val="left"/>
      <w:lvlText w:val="6"/>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1)"/>
      <w:numFmt w:val="decimal"/>
      <w:start w:val="1"/>
    </w:lvl>
  </w:abstractNum>
  <w:abstractNum w:abstractNumId="18">
    <w:nsid w:val="7BD3EE7B"/>
    <w:multiLevelType w:val="hybridMultilevel"/>
    <w:lvl w:ilvl="0">
      <w:lvlJc w:val="left"/>
      <w:lvlText w:val="8"/>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1"/>
      <w:numFmt w:val="decimal"/>
      <w:start w:val="10"/>
    </w:lvl>
  </w:abstractNum>
  <w:abstractNum w:abstractNumId="21">
    <w:nsid w:val="BF72B14"/>
    <w:multiLevelType w:val="hybridMultilevel"/>
    <w:lvl w:ilvl="0">
      <w:lvlJc w:val="left"/>
      <w:lvlText w:val="%1"/>
      <w:numFmt w:val="decimal"/>
      <w:start w:val="12"/>
    </w:lvl>
  </w:abstractNum>
  <w:abstractNum w:abstractNumId="22">
    <w:nsid w:val="11447B73"/>
    <w:multiLevelType w:val="hybridMultilevel"/>
    <w:lvl w:ilvl="0">
      <w:lvlJc w:val="left"/>
      <w:lvlText w:val="%1"/>
      <w:numFmt w:val="decimal"/>
      <w:start w:val="14"/>
    </w:lvl>
  </w:abstractNum>
  <w:abstractNum w:abstractNumId="23">
    <w:nsid w:val="42963E5A"/>
    <w:multiLevelType w:val="hybridMultilevel"/>
    <w:lvl w:ilvl="0">
      <w:lvlJc w:val="left"/>
      <w:lvlText w:val="(%1)"/>
      <w:numFmt w:val="decimal"/>
      <w:start w:val="5"/>
    </w:lvl>
  </w:abstractNum>
  <w:abstractNum w:abstractNumId="24">
    <w:nsid w:val="A0382C5"/>
    <w:multiLevelType w:val="hybridMultilevel"/>
    <w:lvl w:ilvl="0">
      <w:lvlJc w:val="left"/>
      <w:lvlText w:val="(%1)"/>
      <w:numFmt w:val="lowerRoman"/>
      <w:start w:val="1"/>
    </w:lvl>
  </w:abstractNum>
  <w:abstractNum w:abstractNumId="25">
    <w:nsid w:val="8F2B15E"/>
    <w:multiLevelType w:val="hybridMultilevel"/>
    <w:lvl w:ilvl="0">
      <w:lvlJc w:val="left"/>
      <w:lvlText w:val="%1"/>
      <w:numFmt w:val="decimal"/>
      <w:start w:val="16"/>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1"/>
      <w:numFmt w:val="decimal"/>
      <w:start w:val="18"/>
    </w:lvl>
  </w:abstractNum>
  <w:abstractNum w:abstractNumId="32">
    <w:nsid w:val="14330624"/>
    <w:multiLevelType w:val="hybridMultilevel"/>
    <w:lvl w:ilvl="0">
      <w:lvlJc w:val="left"/>
      <w:lvlText w:val="(%1)"/>
      <w:numFmt w:val="lowerRoman"/>
      <w:start w:val="2"/>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1"/>
      <w:numFmt w:val="decimal"/>
      <w:start w:val="20"/>
    </w:lvl>
  </w:abstractNum>
  <w:abstractNum w:abstractNumId="36">
    <w:nsid w:val="100F59DC"/>
    <w:multiLevelType w:val="hybridMultilevel"/>
    <w:lvl w:ilvl="0">
      <w:lvlJc w:val="left"/>
      <w:lvlText w:val="1"/>
      <w:numFmt w:val="bullet"/>
      <w:start w:val="1"/>
    </w:lvl>
  </w:abstractNum>
  <w:abstractNum w:abstractNumId="37">
    <w:nsid w:val="7FB7E0AA"/>
    <w:multiLevelType w:val="hybridMultilevel"/>
    <w:lvl w:ilvl="0">
      <w:lvlJc w:val="left"/>
      <w:lvlText w:val="2"/>
      <w:numFmt w:val="bullet"/>
      <w:start w:val="1"/>
    </w:lvl>
  </w:abstractNum>
  <w:abstractNum w:abstractNumId="38">
    <w:nsid w:val="6EB5BD4"/>
    <w:multiLevelType w:val="hybridMultilevel"/>
    <w:lvl w:ilvl="0">
      <w:lvlJc w:val="left"/>
      <w:lvlText w:val="3"/>
      <w:numFmt w:val="bullet"/>
      <w:start w:val="1"/>
    </w:lvl>
  </w:abstractNum>
  <w:abstractNum w:abstractNumId="39">
    <w:nsid w:val="6F6DD9AC"/>
    <w:multiLevelType w:val="hybridMultilevel"/>
    <w:lvl w:ilvl="0">
      <w:lvlJc w:val="left"/>
      <w:lvlText w:val="4"/>
      <w:numFmt w:val="bullet"/>
      <w:start w:val="1"/>
    </w:lvl>
  </w:abstractNum>
  <w:abstractNum w:abstractNumId="40">
    <w:nsid w:val="94211F2"/>
    <w:multiLevelType w:val="hybridMultilevel"/>
    <w:lvl w:ilvl="0">
      <w:lvlJc w:val="left"/>
      <w:lvlText w:val="5"/>
      <w:numFmt w:val="bullet"/>
      <w:start w:val="1"/>
    </w:lvl>
  </w:abstractNum>
  <w:abstractNum w:abstractNumId="41">
    <w:nsid w:val="885E1B"/>
    <w:multiLevelType w:val="hybridMultilevel"/>
    <w:lvl w:ilvl="0">
      <w:lvlJc w:val="left"/>
      <w:lvlText w:val="6"/>
      <w:numFmt w:val="bullet"/>
      <w:start w:val="1"/>
    </w:lvl>
  </w:abstractNum>
  <w:abstractNum w:abstractNumId="42">
    <w:nsid w:val="76272110"/>
    <w:multiLevelType w:val="hybridMultilevel"/>
    <w:lvl w:ilvl="0">
      <w:lvlJc w:val="left"/>
      <w:lvlText w:val="%1"/>
      <w:numFmt w:val="decimal"/>
      <w:start w:val="22"/>
    </w:lvl>
  </w:abstractNum>
  <w:abstractNum w:abstractNumId="43">
    <w:nsid w:val="4C04A8AF"/>
    <w:multiLevelType w:val="hybridMultilevel"/>
    <w:lvl w:ilvl="0">
      <w:lvlJc w:val="left"/>
      <w:lvlText w:val="%1"/>
      <w:numFmt w:val="decimal"/>
      <w:start w:val="24"/>
    </w:lvl>
  </w:abstractNum>
  <w:abstractNum w:abstractNumId="44">
    <w:nsid w:val="1716703B"/>
    <w:multiLevelType w:val="hybridMultilevel"/>
    <w:lvl w:ilvl="0">
      <w:lvlJc w:val="left"/>
      <w:lvlText w:val="1"/>
      <w:numFmt w:val="bullet"/>
      <w:start w:val="1"/>
    </w:lvl>
  </w:abstractNum>
  <w:abstractNum w:abstractNumId="45">
    <w:nsid w:val="14E17E33"/>
    <w:multiLevelType w:val="hybridMultilevel"/>
    <w:lvl w:ilvl="0">
      <w:lvlJc w:val="left"/>
      <w:lvlText w:val="2"/>
      <w:numFmt w:val="bullet"/>
      <w:start w:val="1"/>
    </w:lvl>
  </w:abstractNum>
  <w:abstractNum w:abstractNumId="46">
    <w:nsid w:val="3222E7CD"/>
    <w:multiLevelType w:val="hybridMultilevel"/>
    <w:lvl w:ilvl="0">
      <w:lvlJc w:val="left"/>
      <w:lvlText w:val="3"/>
      <w:numFmt w:val="bullet"/>
      <w:start w:val="1"/>
    </w:lvl>
  </w:abstractNum>
  <w:abstractNum w:abstractNumId="47">
    <w:nsid w:val="74DE0EE3"/>
    <w:multiLevelType w:val="hybridMultilevel"/>
    <w:lvl w:ilvl="0">
      <w:lvlJc w:val="left"/>
      <w:lvlText w:val="%1"/>
      <w:numFmt w:val="decimal"/>
      <w:start w:val="26"/>
    </w:lvl>
  </w:abstractNum>
  <w:abstractNum w:abstractNumId="48">
    <w:nsid w:val="68EBC550"/>
    <w:multiLevelType w:val="hybridMultilevel"/>
    <w:lvl w:ilvl="0">
      <w:lvlJc w:val="left"/>
      <w:lvlText w:val="%1"/>
      <w:numFmt w:val="decimal"/>
      <w:start w:val="19"/>
    </w:lvl>
  </w:abstractNum>
  <w:abstractNum w:abstractNumId="49">
    <w:nsid w:val="2DF6D648"/>
    <w:multiLevelType w:val="hybridMultilevel"/>
    <w:lvl w:ilvl="0">
      <w:lvlJc w:val="left"/>
      <w:lvlText w:val="%1"/>
      <w:numFmt w:val="decimal"/>
      <w:start w:val="28"/>
    </w:lvl>
  </w:abstractNum>
  <w:abstractNum w:abstractNumId="50">
    <w:nsid w:val="46B7D447"/>
    <w:multiLevelType w:val="hybridMultilevel"/>
    <w:lvl w:ilvl="0">
      <w:lvlJc w:val="left"/>
      <w:lvlText w:val="%1"/>
      <w:numFmt w:val="decimal"/>
      <w:start w:val="30"/>
    </w:lvl>
  </w:abstractNum>
  <w:abstractNum w:abstractNumId="51">
    <w:nsid w:val="4A2AC315"/>
    <w:multiLevelType w:val="hybridMultilevel"/>
    <w:lvl w:ilvl="0">
      <w:lvlJc w:val="left"/>
      <w:lvlText w:val="(%1)"/>
      <w:numFmt w:val="lowerRoman"/>
      <w:start w:val="1"/>
    </w:lvl>
  </w:abstractNum>
  <w:abstractNum w:abstractNumId="52">
    <w:nsid w:val="39EE015C"/>
    <w:multiLevelType w:val="hybridMultilevel"/>
    <w:lvl w:ilvl="0">
      <w:lvlJc w:val="left"/>
      <w:lvlText w:val="%1"/>
      <w:numFmt w:val="decimal"/>
      <w:start w:val="32"/>
    </w:lvl>
  </w:abstractNum>
  <w:abstractNum w:abstractNumId="53">
    <w:nsid w:val="57FC4FBB"/>
    <w:multiLevelType w:val="hybridMultilevel"/>
    <w:lvl w:ilvl="0">
      <w:lvlJc w:val="left"/>
      <w:lvlText w:val="(%1)"/>
      <w:numFmt w:val="lowerRoman"/>
      <w:start w:val="2"/>
    </w:lvl>
  </w:abstractNum>
  <w:abstractNum w:abstractNumId="54">
    <w:nsid w:val="CC1016F"/>
    <w:multiLevelType w:val="hybridMultilevel"/>
    <w:lvl w:ilvl="0">
      <w:lvlJc w:val="left"/>
      <w:lvlText w:val="(%1)"/>
      <w:numFmt w:val="lowerRoman"/>
      <w:start w:val="4"/>
    </w:lvl>
  </w:abstractNum>
  <w:abstractNum w:abstractNumId="55">
    <w:nsid w:val="43F18422"/>
    <w:multiLevelType w:val="hybridMultilevel"/>
    <w:lvl w:ilvl="0">
      <w:lvlJc w:val="left"/>
      <w:lvlText w:val="%1"/>
      <w:numFmt w:val="decimal"/>
      <w:start w:val="34"/>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lvl w:ilvl="1">
      <w:lvlJc w:val="left"/>
      <w:lvlText w:val="o"/>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lvl w:ilvl="1">
      <w:lvlJc w:val="left"/>
      <w:lvlText w:val="o"/>
      <w:numFmt w:val="bullet"/>
      <w:start w:val="1"/>
    </w:lvl>
  </w:abstractNum>
  <w:abstractNum w:abstractNumId="61">
    <w:nsid w:val="5FB8370B"/>
    <w:multiLevelType w:val="hybridMultilevel"/>
    <w:lvl w:ilvl="0">
      <w:lvlJc w:val="left"/>
      <w:lvlText w:val="%1"/>
      <w:numFmt w:val="decimal"/>
      <w:start w:val="36"/>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1"/>
      <w:numFmt w:val="decimal"/>
      <w:start w:val="38"/>
    </w:lvl>
  </w:abstractNum>
  <w:abstractNum w:abstractNumId="67">
    <w:nsid w:val="6FC75AF8"/>
    <w:multiLevelType w:val="hybridMultilevel"/>
    <w:lvl w:ilvl="0">
      <w:lvlJc w:val="left"/>
      <w:lvlText w:val="o"/>
      <w:numFmt w:val="bullet"/>
      <w:start w:val="1"/>
    </w:lvl>
  </w:abstractNum>
  <w:abstractNum w:abstractNumId="68">
    <w:nsid w:val="6A5F7029"/>
    <w:multiLevelType w:val="hybridMultilevel"/>
    <w:lvl w:ilvl="0">
      <w:lvlJc w:val="left"/>
      <w:lvlText w:val="o"/>
      <w:numFmt w:val="bullet"/>
      <w:start w:val="1"/>
    </w:lvl>
  </w:abstractNum>
  <w:abstractNum w:abstractNumId="69">
    <w:nsid w:val="7D5E18F8"/>
    <w:multiLevelType w:val="hybridMultilevel"/>
    <w:lvl w:ilvl="0">
      <w:lvlJc w:val="left"/>
      <w:lvlText w:val="%1"/>
      <w:numFmt w:val="decimal"/>
      <w:start w:val="40"/>
    </w:lvl>
  </w:abstractNum>
  <w:abstractNum w:abstractNumId="70">
    <w:nsid w:val="5F3534A4"/>
    <w:multiLevelType w:val="hybridMultilevel"/>
    <w:lvl w:ilvl="0">
      <w:lvlJc w:val="left"/>
      <w:lvlText w:val="%1"/>
      <w:numFmt w:val="decimal"/>
      <w:start w:val="42"/>
    </w:lvl>
  </w:abstractNum>
  <w:abstractNum w:abstractNumId="71">
    <w:nsid w:val="73A1821B"/>
    <w:multiLevelType w:val="hybridMultilevel"/>
    <w:lvl w:ilvl="0">
      <w:lvlJc w:val="left"/>
      <w:lvlText w:val="%1"/>
      <w:numFmt w:val="decimal"/>
      <w:start w:val="44"/>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1"/>
      <w:numFmt w:val="decimal"/>
      <w:start w:val="46"/>
    </w:lvl>
  </w:abstractNum>
  <w:abstractNum w:abstractNumId="75">
    <w:nsid w:val="14FCE74E"/>
    <w:multiLevelType w:val="hybridMultilevel"/>
    <w:lvl w:ilvl="0">
      <w:lvlJc w:val="left"/>
      <w:lvlText w:val="%1"/>
      <w:numFmt w:val="decimal"/>
      <w:start w:val="48"/>
    </w:lvl>
  </w:abstractNum>
  <w:abstractNum w:abstractNumId="76">
    <w:nsid w:val="6A3DD3E8"/>
    <w:multiLevelType w:val="hybridMultilevel"/>
    <w:lvl w:ilvl="0">
      <w:lvlJc w:val="left"/>
      <w:lvlText w:val="(%1)"/>
      <w:numFmt w:val="lowerRoman"/>
      <w:start w:val="3"/>
    </w:lvl>
  </w:abstractNum>
  <w:abstractNum w:abstractNumId="77">
    <w:nsid w:val="71C91298"/>
    <w:multiLevelType w:val="hybridMultilevel"/>
    <w:lvl w:ilvl="0">
      <w:lvlJc w:val="left"/>
      <w:lvlText w:val="%1"/>
      <w:numFmt w:val="decimal"/>
      <w:start w:val="50"/>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1"/>
      <w:numFmt w:val="decimal"/>
      <w:start w:val="52"/>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1"/>
      <w:numFmt w:val="decimal"/>
      <w:start w:val="54"/>
    </w:lvl>
  </w:abstractNum>
  <w:abstractNum w:abstractNumId="86">
    <w:nsid w:val="1D9F6E5F"/>
    <w:multiLevelType w:val="hybridMultilevel"/>
    <w:lvl w:ilvl="0">
      <w:lvlJc w:val="left"/>
      <w:lvlText w:val="1"/>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1"/>
      <w:numFmt w:val="decimal"/>
      <w:start w:val="56"/>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1"/>
      <w:numFmt w:val="bullet"/>
      <w:start w:val="1"/>
    </w:lvl>
  </w:abstractNum>
  <w:abstractNum w:abstractNumId="91">
    <w:nsid w:val="415E286C"/>
    <w:multiLevelType w:val="hybridMultilevel"/>
    <w:lvl w:ilvl="0">
      <w:lvlJc w:val="left"/>
      <w:lvlText w:val="%1"/>
      <w:numFmt w:val="decimal"/>
      <w:start w:val="58"/>
    </w:lvl>
  </w:abstractNum>
  <w:abstractNum w:abstractNumId="92">
    <w:nsid w:val="7C58FD05"/>
    <w:multiLevelType w:val="hybridMultilevel"/>
    <w:lvl w:ilvl="0">
      <w:lvlJc w:val="left"/>
      <w:lvlText w:val="*"/>
      <w:numFmt w:val="bullet"/>
      <w:start w:val="1"/>
    </w:lvl>
  </w:abstractNum>
  <w:abstractNum w:abstractNumId="93">
    <w:nsid w:val="23D86AAC"/>
    <w:multiLevelType w:val="hybridMultilevel"/>
    <w:lvl w:ilvl="0">
      <w:lvlJc w:val="left"/>
      <w:lvlText w:val="%1"/>
      <w:numFmt w:val="decimal"/>
      <w:start w:val="60"/>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1"/>
      <w:numFmt w:val="bullet"/>
      <w:start w:val="1"/>
    </w:lvl>
  </w:abstractNum>
  <w:abstractNum w:abstractNumId="96">
    <w:nsid w:val="E7FFA2B"/>
    <w:multiLevelType w:val="hybridMultilevel"/>
    <w:lvl w:ilvl="0">
      <w:lvlJc w:val="left"/>
      <w:lvlText w:val="2"/>
      <w:numFmt w:val="bullet"/>
      <w:start w:val="1"/>
    </w:lvl>
  </w:abstractNum>
  <w:abstractNum w:abstractNumId="97">
    <w:nsid w:val="3C5991AA"/>
    <w:multiLevelType w:val="hybridMultilevel"/>
    <w:lvl w:ilvl="0">
      <w:lvlJc w:val="left"/>
      <w:lvlText w:val="3"/>
      <w:numFmt w:val="bullet"/>
      <w:start w:val="1"/>
    </w:lvl>
  </w:abstractNum>
  <w:abstractNum w:abstractNumId="98">
    <w:nsid w:val="4BD8591A"/>
    <w:multiLevelType w:val="hybridMultilevel"/>
    <w:lvl w:ilvl="0">
      <w:lvlJc w:val="left"/>
      <w:lvlText w:val="4"/>
      <w:numFmt w:val="bullet"/>
      <w:start w:val="1"/>
    </w:lvl>
  </w:abstractNum>
  <w:abstractNum w:abstractNumId="99">
    <w:nsid w:val="78DF6A55"/>
    <w:multiLevelType w:val="hybridMultilevel"/>
    <w:lvl w:ilvl="0">
      <w:lvlJc w:val="left"/>
      <w:lvlText w:val="5"/>
      <w:numFmt w:val="bullet"/>
      <w:start w:val="1"/>
    </w:lvl>
  </w:abstractNum>
  <w:abstractNum w:abstractNumId="100">
    <w:nsid w:val="39B7AAA2"/>
    <w:multiLevelType w:val="hybridMultilevel"/>
    <w:lvl w:ilvl="0">
      <w:lvlJc w:val="left"/>
      <w:lvlText w:val="6"/>
      <w:numFmt w:val="bullet"/>
      <w:start w:val="1"/>
    </w:lvl>
  </w:abstractNum>
  <w:abstractNum w:abstractNumId="101">
    <w:nsid w:val="2B0D8DBE"/>
    <w:multiLevelType w:val="hybridMultilevel"/>
    <w:lvl w:ilvl="0">
      <w:lvlJc w:val="left"/>
      <w:lvlText w:val="7"/>
      <w:numFmt w:val="bullet"/>
      <w:start w:val="1"/>
    </w:lvl>
  </w:abstractNum>
  <w:abstractNum w:abstractNumId="102">
    <w:nsid w:val="6C80EC70"/>
    <w:multiLevelType w:val="hybridMultilevel"/>
    <w:lvl w:ilvl="0">
      <w:lvlJc w:val="left"/>
      <w:lvlText w:val="8"/>
      <w:numFmt w:val="bullet"/>
      <w:start w:val="1"/>
    </w:lvl>
  </w:abstractNum>
  <w:abstractNum w:abstractNumId="103">
    <w:nsid w:val="379E21B5"/>
    <w:multiLevelType w:val="hybridMultilevel"/>
    <w:lvl w:ilvl="0">
      <w:lvlJc w:val="left"/>
      <w:lvlText w:val="%1"/>
      <w:numFmt w:val="decimal"/>
      <w:start w:val="62"/>
    </w:lvl>
  </w:abstractNum>
  <w:abstractNum w:abstractNumId="104">
    <w:nsid w:val="69E373"/>
    <w:multiLevelType w:val="hybridMultilevel"/>
    <w:lvl w:ilvl="0">
      <w:lvlJc w:val="left"/>
      <w:lvlText w:val="9"/>
      <w:numFmt w:val="bullet"/>
      <w:start w:val="1"/>
    </w:lvl>
  </w:abstractNum>
  <w:abstractNum w:abstractNumId="105">
    <w:nsid w:val="2C27173B"/>
    <w:multiLevelType w:val="hybridMultilevel"/>
    <w:lvl w:ilvl="0">
      <w:lvlJc w:val="left"/>
      <w:lvlText w:val="%1"/>
      <w:numFmt w:val="decimal"/>
      <w:start w:val="10"/>
    </w:lvl>
  </w:abstractNum>
  <w:abstractNum w:abstractNumId="106">
    <w:nsid w:val="4C9B0904"/>
    <w:multiLevelType w:val="hybridMultilevel"/>
    <w:lvl w:ilvl="0">
      <w:lvlJc w:val="left"/>
      <w:lvlText w:val="%1"/>
      <w:numFmt w:val="decimal"/>
      <w:start w:val="64"/>
    </w:lvl>
  </w:abstractNum>
  <w:abstractNum w:abstractNumId="107">
    <w:nsid w:val="6AA7B75C"/>
    <w:multiLevelType w:val="hybridMultilevel"/>
    <w:lvl w:ilvl="0">
      <w:lvlJc w:val="left"/>
      <w:lvlText w:val="2"/>
      <w:numFmt w:val="bullet"/>
      <w:start w:val="1"/>
    </w:lvl>
  </w:abstractNum>
  <w:abstractNum w:abstractNumId="108">
    <w:nsid w:val="1DF029D3"/>
    <w:multiLevelType w:val="hybridMultilevel"/>
    <w:lvl w:ilvl="0">
      <w:lvlJc w:val="left"/>
      <w:lvlText w:val="6"/>
      <w:numFmt w:val="bullet"/>
      <w:start w:val="1"/>
    </w:lvl>
  </w:abstractNum>
  <w:abstractNum w:abstractNumId="109">
    <w:nsid w:val="5675FF36"/>
    <w:multiLevelType w:val="hybridMultilevel"/>
    <w:lvl w:ilvl="0">
      <w:lvlJc w:val="left"/>
      <w:lvlText w:val="1"/>
      <w:numFmt w:val="bullet"/>
      <w:start w:val="1"/>
    </w:lvl>
  </w:abstractNum>
  <w:abstractNum w:abstractNumId="110">
    <w:nsid w:val="3DD15094"/>
    <w:multiLevelType w:val="hybridMultilevel"/>
    <w:lvl w:ilvl="0">
      <w:lvlJc w:val="left"/>
      <w:lvlText w:val="%1"/>
      <w:numFmt w:val="decimal"/>
      <w:start w:val="66"/>
    </w:lvl>
  </w:abstractNum>
  <w:abstractNum w:abstractNumId="111">
    <w:nsid w:val="3DB012B3"/>
    <w:multiLevelType w:val="hybridMultilevel"/>
    <w:lvl w:ilvl="0">
      <w:lvlJc w:val="left"/>
      <w:lvlText w:val="1"/>
      <w:numFmt w:val="bullet"/>
      <w:start w:val="1"/>
    </w:lvl>
  </w:abstractNum>
  <w:abstractNum w:abstractNumId="112">
    <w:nsid w:val="2708C9AF"/>
    <w:multiLevelType w:val="hybridMultilevel"/>
    <w:lvl w:ilvl="0">
      <w:lvlJc w:val="left"/>
      <w:lvlText w:val="2"/>
      <w:numFmt w:val="bullet"/>
      <w:start w:val="1"/>
    </w:lvl>
  </w:abstractNum>
  <w:abstractNum w:abstractNumId="113">
    <w:nsid w:val="5B25ACE2"/>
    <w:multiLevelType w:val="hybridMultilevel"/>
    <w:lvl w:ilvl="0">
      <w:lvlJc w:val="left"/>
      <w:lvlText w:val="3"/>
      <w:numFmt w:val="bullet"/>
      <w:start w:val="1"/>
    </w:lvl>
  </w:abstractNum>
  <w:abstractNum w:abstractNumId="114">
    <w:nsid w:val="175DFCF0"/>
    <w:multiLevelType w:val="hybridMultilevel"/>
    <w:lvl w:ilvl="0">
      <w:lvlJc w:val="left"/>
      <w:lvlText w:val="4"/>
      <w:numFmt w:val="bullet"/>
      <w:start w:val="1"/>
    </w:lvl>
  </w:abstractNum>
  <w:abstractNum w:abstractNumId="115">
    <w:nsid w:val="4F97E3E4"/>
    <w:multiLevelType w:val="hybridMultilevel"/>
    <w:lvl w:ilvl="0">
      <w:lvlJc w:val="left"/>
      <w:lvlText w:val="5"/>
      <w:numFmt w:val="bullet"/>
      <w:start w:val="1"/>
    </w:lvl>
  </w:abstractNum>
  <w:abstractNum w:abstractNumId="116">
    <w:nsid w:val="53B0A9E"/>
    <w:multiLevelType w:val="hybridMultilevel"/>
    <w:lvl w:ilvl="0">
      <w:lvlJc w:val="left"/>
      <w:lvlText w:val="6"/>
      <w:numFmt w:val="bullet"/>
      <w:start w:val="1"/>
    </w:lvl>
  </w:abstractNum>
  <w:abstractNum w:abstractNumId="117">
    <w:nsid w:val="34FD6B4F"/>
    <w:multiLevelType w:val="hybridMultilevel"/>
    <w:lvl w:ilvl="0">
      <w:lvlJc w:val="left"/>
      <w:lvlText w:val="7"/>
      <w:numFmt w:val="bullet"/>
      <w:start w:val="1"/>
    </w:lvl>
  </w:abstractNum>
  <w:abstractNum w:abstractNumId="118">
    <w:nsid w:val="5915FF32"/>
    <w:multiLevelType w:val="hybridMultilevel"/>
    <w:lvl w:ilvl="0">
      <w:lvlJc w:val="left"/>
      <w:lvlText w:val="8"/>
      <w:numFmt w:val="bullet"/>
      <w:start w:val="1"/>
    </w:lvl>
  </w:abstractNum>
  <w:abstractNum w:abstractNumId="119">
    <w:nsid w:val="56438D15"/>
    <w:multiLevelType w:val="hybridMultilevel"/>
    <w:lvl w:ilvl="0">
      <w:lvlJc w:val="left"/>
      <w:lvlText w:val="9"/>
      <w:numFmt w:val="bullet"/>
      <w:start w:val="1"/>
    </w:lvl>
  </w:abstractNum>
  <w:abstractNum w:abstractNumId="120">
    <w:nsid w:val="519E3149"/>
    <w:multiLevelType w:val="hybridMultilevel"/>
    <w:lvl w:ilvl="0">
      <w:lvlJc w:val="left"/>
      <w:lvlText w:val="%1"/>
      <w:numFmt w:val="decimal"/>
      <w:start w:val="10"/>
    </w:lvl>
  </w:abstractNum>
  <w:abstractNum w:abstractNumId="121">
    <w:nsid w:val="2C6E4AFD"/>
    <w:multiLevelType w:val="hybridMultilevel"/>
    <w:lvl w:ilvl="0">
      <w:lvlJc w:val="left"/>
      <w:lvlText w:val="(%1)"/>
      <w:numFmt w:val="lowerRoman"/>
      <w:start w:val="1"/>
    </w:lvl>
  </w:abstractNum>
  <w:abstractNum w:abstractNumId="122">
    <w:nsid w:val="17A1B582"/>
    <w:multiLevelType w:val="hybridMultilevel"/>
    <w:lvl w:ilvl="0">
      <w:lvlJc w:val="left"/>
      <w:lvlText w:val="%1"/>
      <w:numFmt w:val="decimal"/>
      <w:start w:val="68"/>
    </w:lvl>
  </w:abstractNum>
  <w:abstractNum w:abstractNumId="123">
    <w:nsid w:val="4DF72E4E"/>
    <w:multiLevelType w:val="hybridMultilevel"/>
    <w:lvl w:ilvl="0">
      <w:lvlJc w:val="left"/>
      <w:lvlText w:val="1"/>
      <w:numFmt w:val="bullet"/>
      <w:start w:val="1"/>
    </w:lvl>
  </w:abstractNum>
  <w:abstractNum w:abstractNumId="124">
    <w:nsid w:val="5046B5A9"/>
    <w:multiLevelType w:val="hybridMultilevel"/>
    <w:lvl w:ilvl="0">
      <w:lvlJc w:val="left"/>
      <w:lvlText w:val="2"/>
      <w:numFmt w:val="bullet"/>
      <w:start w:val="1"/>
    </w:lvl>
  </w:abstractNum>
  <w:abstractNum w:abstractNumId="125">
    <w:nsid w:val="5D888A08"/>
    <w:multiLevelType w:val="hybridMultilevel"/>
    <w:lvl w:ilvl="0">
      <w:lvlJc w:val="left"/>
      <w:lvlText w:val="3"/>
      <w:numFmt w:val="bullet"/>
      <w:start w:val="1"/>
    </w:lvl>
  </w:abstractNum>
  <w:abstractNum w:abstractNumId="126">
    <w:nsid w:val="2A082C70"/>
    <w:multiLevelType w:val="hybridMultilevel"/>
    <w:lvl w:ilvl="0">
      <w:lvlJc w:val="left"/>
      <w:lvlText w:val="4"/>
      <w:numFmt w:val="bullet"/>
      <w:start w:val="1"/>
    </w:lvl>
  </w:abstractNum>
  <w:abstractNum w:abstractNumId="127">
    <w:nsid w:val="5EC6AFD4"/>
    <w:multiLevelType w:val="hybridMultilevel"/>
    <w:lvl w:ilvl="0">
      <w:lvlJc w:val="left"/>
      <w:lvlText w:val="5"/>
      <w:numFmt w:val="bullet"/>
      <w:start w:val="1"/>
    </w:lvl>
  </w:abstractNum>
  <w:abstractNum w:abstractNumId="128">
    <w:nsid w:val="19E21BB2"/>
    <w:multiLevelType w:val="hybridMultilevel"/>
    <w:lvl w:ilvl="0">
      <w:lvlJc w:val="left"/>
      <w:lvlText w:val="%1"/>
      <w:numFmt w:val="decimal"/>
      <w:start w:val="70"/>
    </w:lvl>
  </w:abstractNum>
  <w:abstractNum w:abstractNumId="129">
    <w:nsid w:val="75E0858A"/>
    <w:multiLevelType w:val="hybridMultilevel"/>
    <w:lvl w:ilvl="0">
      <w:lvlJc w:val="left"/>
      <w:lvlText w:val="%1"/>
      <w:numFmt w:val="decimal"/>
      <w:start w:val="72"/>
    </w:lvl>
  </w:abstractNum>
  <w:abstractNum w:abstractNumId="130">
    <w:nsid w:val="57A61A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2019-12-05T23:43:22Z</dcterms:created>
  <dcterms:modified xsi:type="dcterms:W3CDTF">2019-12-05T23:43:22Z</dcterms:modified>
</cp:coreProperties>
</file>