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SECURITIES AND EXCHANGE COMMISSION</w:t>
      </w:r>
    </w:p>
    <w:p>
      <w:pPr>
        <w:spacing w:after="0" w:line="2"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13G</w:t>
      </w:r>
    </w:p>
    <w:p>
      <w:pPr>
        <w:spacing w:after="0" w:line="225"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(Amendment No. __)*</w:t>
      </w:r>
    </w:p>
    <w:p>
      <w:pPr>
        <w:spacing w:after="0" w:line="216" w:lineRule="exact"/>
        <w:rPr>
          <w:sz w:val="24"/>
          <w:szCs w:val="24"/>
          <w:color w:val="auto"/>
        </w:rPr>
      </w:pPr>
    </w:p>
    <w:p>
      <w:pPr>
        <w:jc w:val="center"/>
        <w:ind w:right="440"/>
        <w:spacing w:after="0"/>
        <w:rPr>
          <w:sz w:val="20"/>
          <w:szCs w:val="20"/>
          <w:color w:val="auto"/>
        </w:rPr>
      </w:pPr>
      <w:r>
        <w:rPr>
          <w:rFonts w:ascii="Arial" w:cs="Arial" w:eastAsia="Arial" w:hAnsi="Arial"/>
          <w:sz w:val="25"/>
          <w:szCs w:val="25"/>
          <w:b w:val="1"/>
          <w:bCs w:val="1"/>
          <w:color w:val="auto"/>
        </w:rPr>
        <w:t>Decibel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24343R106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17145</wp:posOffset>
            </wp:positionV>
            <wp:extent cx="2134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60" w:lineRule="exact"/>
        <w:rPr>
          <w:rFonts w:ascii="MS PGothic" w:cs="MS PGothic" w:eastAsia="MS PGothic" w:hAnsi="MS PGothic"/>
          <w:sz w:val="18"/>
          <w:szCs w:val="18"/>
          <w:color w:val="auto"/>
        </w:rPr>
      </w:pPr>
    </w:p>
    <w:p>
      <w:pPr>
        <w:ind w:right="20" w:firstLine="648"/>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0" w:lineRule="exact"/>
        <w:rPr>
          <w:sz w:val="24"/>
          <w:szCs w:val="24"/>
          <w:color w:val="auto"/>
        </w:rPr>
      </w:pPr>
    </w:p>
    <w:p>
      <w:pPr>
        <w:jc w:val="both"/>
        <w:ind w:firstLine="81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7" w:right="339" w:bottom="1440" w:gutter="0" w:footer="0" w:header="0"/>
        </w:sectPr>
      </w:pPr>
    </w:p>
    <w:bookmarkStart w:id="1" w:name="page2"/>
    <w:bookmarkEnd w:id="1"/>
    <w:p>
      <w:pPr>
        <w:ind w:left="680" w:hanging="575"/>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62" w:lineRule="exact"/>
        <w:rPr>
          <w:rFonts w:ascii="Arial" w:cs="Arial" w:eastAsia="Arial" w:hAnsi="Arial"/>
          <w:sz w:val="18"/>
          <w:szCs w:val="18"/>
          <w:color w:val="auto"/>
        </w:rPr>
      </w:pPr>
    </w:p>
    <w:p>
      <w:pPr>
        <w:ind w:left="680" w:right="7220"/>
        <w:spacing w:after="0" w:line="527" w:lineRule="auto"/>
        <w:rPr>
          <w:rFonts w:ascii="Arial" w:cs="Arial" w:eastAsia="Arial" w:hAnsi="Arial"/>
          <w:sz w:val="18"/>
          <w:szCs w:val="18"/>
          <w:color w:val="auto"/>
        </w:rPr>
      </w:pPr>
      <w:r>
        <w:rPr>
          <w:rFonts w:ascii="Arial" w:cs="Arial" w:eastAsia="Arial" w:hAnsi="Arial"/>
          <w:sz w:val="18"/>
          <w:szCs w:val="18"/>
          <w:color w:val="auto"/>
        </w:rPr>
        <w:t>REGENERON PHARMACEUTICALS, INC. 13-3444607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-610235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p>
      <w:pPr>
        <w:ind w:left="680" w:hanging="575"/>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060" w:hanging="388"/>
        <w:spacing w:after="0" w:line="207" w:lineRule="exact"/>
        <w:tabs>
          <w:tab w:leader="none" w:pos="10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060" w:hanging="388"/>
        <w:spacing w:after="0" w:line="207" w:lineRule="exact"/>
        <w:tabs>
          <w:tab w:leader="none" w:pos="10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ind w:left="680" w:hanging="575"/>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80" w:right="7900" w:hanging="575"/>
        <w:spacing w:after="0" w:line="52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5</w:t>
            </w:r>
          </w:p>
        </w:tc>
        <w:tc>
          <w:tcPr>
            <w:tcW w:w="960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93"/>
              </w:rPr>
              <w:t>Number</w:t>
            </w:r>
          </w:p>
        </w:tc>
        <w:tc>
          <w:tcPr>
            <w:tcW w:w="98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2,097,314 shares</w:t>
            </w:r>
          </w:p>
        </w:tc>
        <w:tc>
          <w:tcPr>
            <w:tcW w:w="0" w:type="dxa"/>
            <w:vAlign w:val="bottom"/>
          </w:tcPr>
          <w:p>
            <w:pPr>
              <w:spacing w:after="0"/>
              <w:rPr>
                <w:sz w:val="1"/>
                <w:szCs w:val="1"/>
                <w:color w:val="auto"/>
              </w:rPr>
            </w:pPr>
          </w:p>
        </w:tc>
      </w:tr>
      <w:tr>
        <w:trPr>
          <w:trHeight w:val="168"/>
        </w:trPr>
        <w:tc>
          <w:tcPr>
            <w:tcW w:w="1120" w:type="dxa"/>
            <w:vAlign w:val="bottom"/>
            <w:vMerge w:val="continue"/>
          </w:tcPr>
          <w:p>
            <w:pPr>
              <w:spacing w:after="0"/>
              <w:rPr>
                <w:sz w:val="14"/>
                <w:szCs w:val="14"/>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rPr>
              <w:t>6</w:t>
            </w:r>
          </w:p>
        </w:tc>
        <w:tc>
          <w:tcPr>
            <w:tcW w:w="960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8"/>
              </w:rPr>
              <w:t>of Shares</w:t>
            </w:r>
          </w:p>
        </w:tc>
        <w:tc>
          <w:tcPr>
            <w:tcW w:w="280" w:type="dxa"/>
            <w:vAlign w:val="bottom"/>
            <w:vMerge w:val="continue"/>
          </w:tcPr>
          <w:p>
            <w:pPr>
              <w:spacing w:after="0"/>
              <w:rPr>
                <w:sz w:val="8"/>
                <w:szCs w:val="8"/>
                <w:color w:val="auto"/>
              </w:rPr>
            </w:pPr>
          </w:p>
        </w:tc>
        <w:tc>
          <w:tcPr>
            <w:tcW w:w="9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9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6"/>
              </w:rPr>
              <w:t>Beneficially</w:t>
            </w:r>
          </w:p>
        </w:tc>
        <w:tc>
          <w:tcPr>
            <w:tcW w:w="9880" w:type="dxa"/>
            <w:vAlign w:val="bottom"/>
            <w:gridSpan w:val="2"/>
            <w:vMerge w:val="restart"/>
          </w:tcPr>
          <w:p>
            <w:pPr>
              <w:ind w:left="10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100"/>
        </w:trPr>
        <w:tc>
          <w:tcPr>
            <w:tcW w:w="1120" w:type="dxa"/>
            <w:vAlign w:val="bottom"/>
            <w:vMerge w:val="restart"/>
          </w:tcPr>
          <w:p>
            <w:pPr>
              <w:jc w:val="center"/>
              <w:ind w:right="130"/>
              <w:spacing w:after="0"/>
              <w:rPr>
                <w:sz w:val="20"/>
                <w:szCs w:val="20"/>
                <w:color w:val="auto"/>
              </w:rPr>
            </w:pPr>
            <w:r>
              <w:rPr>
                <w:rFonts w:ascii="Arial" w:cs="Arial" w:eastAsia="Arial" w:hAnsi="Arial"/>
                <w:sz w:val="18"/>
                <w:szCs w:val="18"/>
                <w:color w:val="auto"/>
                <w:w w:val="91"/>
              </w:rPr>
              <w:t>Owned by</w:t>
            </w:r>
          </w:p>
        </w:tc>
        <w:tc>
          <w:tcPr>
            <w:tcW w:w="988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120" w:type="dxa"/>
            <w:vAlign w:val="bottom"/>
            <w:vMerge w:val="continue"/>
          </w:tcPr>
          <w:p>
            <w:pPr>
              <w:spacing w:after="0"/>
              <w:rPr>
                <w:sz w:val="8"/>
                <w:szCs w:val="8"/>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auto"/>
              </w:rPr>
              <w:t>7</w:t>
            </w:r>
          </w:p>
        </w:tc>
        <w:tc>
          <w:tcPr>
            <w:tcW w:w="960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1120" w:type="dxa"/>
            <w:vAlign w:val="bottom"/>
            <w:vMerge w:val="restart"/>
          </w:tcPr>
          <w:p>
            <w:pPr>
              <w:jc w:val="center"/>
              <w:ind w:right="150"/>
              <w:spacing w:after="0"/>
              <w:rPr>
                <w:sz w:val="20"/>
                <w:szCs w:val="20"/>
                <w:color w:val="auto"/>
              </w:rPr>
            </w:pPr>
            <w:r>
              <w:rPr>
                <w:rFonts w:ascii="Arial" w:cs="Arial" w:eastAsia="Arial" w:hAnsi="Arial"/>
                <w:sz w:val="18"/>
                <w:szCs w:val="18"/>
                <w:color w:val="auto"/>
                <w:w w:val="87"/>
              </w:rPr>
              <w:t>Each</w:t>
            </w:r>
          </w:p>
        </w:tc>
        <w:tc>
          <w:tcPr>
            <w:tcW w:w="280" w:type="dxa"/>
            <w:vAlign w:val="bottom"/>
            <w:vMerge w:val="continue"/>
          </w:tcPr>
          <w:p>
            <w:pPr>
              <w:spacing w:after="0"/>
              <w:rPr>
                <w:sz w:val="14"/>
                <w:szCs w:val="14"/>
                <w:color w:val="auto"/>
              </w:rPr>
            </w:pPr>
          </w:p>
        </w:tc>
        <w:tc>
          <w:tcPr>
            <w:tcW w:w="9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1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9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150"/>
              <w:spacing w:after="0"/>
              <w:rPr>
                <w:sz w:val="20"/>
                <w:szCs w:val="20"/>
                <w:color w:val="auto"/>
              </w:rPr>
            </w:pPr>
            <w:r>
              <w:rPr>
                <w:rFonts w:ascii="Arial" w:cs="Arial" w:eastAsia="Arial" w:hAnsi="Arial"/>
                <w:sz w:val="18"/>
                <w:szCs w:val="18"/>
                <w:color w:val="auto"/>
                <w:w w:val="92"/>
              </w:rPr>
              <w:t>Reporting</w:t>
            </w:r>
          </w:p>
        </w:tc>
        <w:tc>
          <w:tcPr>
            <w:tcW w:w="9880" w:type="dxa"/>
            <w:vAlign w:val="bottom"/>
            <w:gridSpan w:val="2"/>
            <w:vMerge w:val="restart"/>
          </w:tcPr>
          <w:p>
            <w:pPr>
              <w:ind w:left="100"/>
              <w:spacing w:after="0"/>
              <w:rPr>
                <w:sz w:val="20"/>
                <w:szCs w:val="20"/>
                <w:color w:val="auto"/>
              </w:rPr>
            </w:pPr>
            <w:r>
              <w:rPr>
                <w:rFonts w:ascii="Arial" w:cs="Arial" w:eastAsia="Arial" w:hAnsi="Arial"/>
                <w:sz w:val="18"/>
                <w:szCs w:val="18"/>
                <w:color w:val="auto"/>
              </w:rPr>
              <w:t>2,097,314 shares</w:t>
            </w:r>
          </w:p>
        </w:tc>
        <w:tc>
          <w:tcPr>
            <w:tcW w:w="0" w:type="dxa"/>
            <w:vAlign w:val="bottom"/>
          </w:tcPr>
          <w:p>
            <w:pPr>
              <w:spacing w:after="0"/>
              <w:rPr>
                <w:sz w:val="1"/>
                <w:szCs w:val="1"/>
                <w:color w:val="auto"/>
              </w:rPr>
            </w:pPr>
          </w:p>
        </w:tc>
      </w:tr>
      <w:tr>
        <w:trPr>
          <w:trHeight w:val="168"/>
        </w:trPr>
        <w:tc>
          <w:tcPr>
            <w:tcW w:w="1120" w:type="dxa"/>
            <w:vAlign w:val="bottom"/>
          </w:tcPr>
          <w:p>
            <w:pPr>
              <w:jc w:val="center"/>
              <w:ind w:right="150"/>
              <w:spacing w:after="0" w:line="157" w:lineRule="exact"/>
              <w:rPr>
                <w:sz w:val="20"/>
                <w:szCs w:val="20"/>
                <w:color w:val="auto"/>
              </w:rPr>
            </w:pPr>
            <w:r>
              <w:rPr>
                <w:rFonts w:ascii="Arial" w:cs="Arial" w:eastAsia="Arial" w:hAnsi="Arial"/>
                <w:sz w:val="18"/>
                <w:szCs w:val="18"/>
                <w:color w:val="auto"/>
                <w:w w:val="89"/>
              </w:rPr>
              <w:t>Person With</w:t>
            </w:r>
          </w:p>
        </w:tc>
        <w:tc>
          <w:tcPr>
            <w:tcW w:w="9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2"/>
                <w:szCs w:val="22"/>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rPr>
              <w:t>8</w:t>
            </w:r>
          </w:p>
        </w:tc>
        <w:tc>
          <w:tcPr>
            <w:tcW w:w="9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57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2,097,314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7" w:lineRule="exact"/>
        <w:rPr>
          <w:sz w:val="20"/>
          <w:szCs w:val="20"/>
          <w:color w:val="auto"/>
        </w:rPr>
      </w:pPr>
    </w:p>
    <w:p>
      <w:pPr>
        <w:ind w:left="680" w:hanging="575"/>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18" w:lineRule="exact"/>
        <w:rPr>
          <w:rFonts w:ascii="Arial" w:cs="Arial" w:eastAsia="Arial" w:hAnsi="Arial"/>
          <w:sz w:val="18"/>
          <w:szCs w:val="18"/>
          <w:color w:val="auto"/>
        </w:rPr>
      </w:pPr>
    </w:p>
    <w:p>
      <w:pPr>
        <w:ind w:left="6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4" w:lineRule="exact"/>
        <w:rPr>
          <w:rFonts w:ascii="Arial" w:cs="Arial" w:eastAsia="Arial" w:hAnsi="Arial"/>
          <w:sz w:val="18"/>
          <w:szCs w:val="18"/>
          <w:color w:val="auto"/>
        </w:rPr>
      </w:pPr>
    </w:p>
    <w:p>
      <w:pPr>
        <w:ind w:left="680" w:hanging="575"/>
        <w:spacing w:after="0"/>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8.42% *</w:t>
      </w:r>
    </w:p>
    <w:p>
      <w:pPr>
        <w:spacing w:after="0" w:line="292" w:lineRule="exact"/>
        <w:rPr>
          <w:rFonts w:ascii="Arial" w:cs="Arial" w:eastAsia="Arial" w:hAnsi="Arial"/>
          <w:sz w:val="18"/>
          <w:szCs w:val="18"/>
          <w:color w:val="auto"/>
        </w:rPr>
      </w:pPr>
    </w:p>
    <w:p>
      <w:pPr>
        <w:ind w:left="680" w:right="7400" w:hanging="575"/>
        <w:spacing w:after="0" w:line="277" w:lineRule="auto"/>
        <w:tabs>
          <w:tab w:leader="none" w:pos="68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 CO (Corporation)</w:t>
      </w:r>
    </w:p>
    <w:p>
      <w:pPr>
        <w:spacing w:after="0" w:line="183" w:lineRule="exact"/>
        <w:rPr>
          <w:rFonts w:ascii="Arial" w:cs="Arial" w:eastAsia="Arial" w:hAnsi="Arial"/>
          <w:sz w:val="18"/>
          <w:szCs w:val="18"/>
          <w:color w:val="auto"/>
        </w:rPr>
      </w:pPr>
    </w:p>
    <w:p>
      <w:pPr>
        <w:jc w:val="both"/>
        <w:spacing w:after="0" w:line="263" w:lineRule="auto"/>
        <w:rPr>
          <w:rFonts w:ascii="Arial" w:cs="Arial" w:eastAsia="Arial" w:hAnsi="Arial"/>
          <w:sz w:val="18"/>
          <w:szCs w:val="18"/>
          <w:color w:val="auto"/>
        </w:rPr>
      </w:pPr>
      <w:r>
        <w:rPr>
          <w:rFonts w:ascii="Arial" w:cs="Arial" w:eastAsia="Arial" w:hAnsi="Arial"/>
          <w:sz w:val="18"/>
          <w:szCs w:val="18"/>
          <w:color w:val="auto"/>
        </w:rPr>
        <w:t>* The percentages reported herein with respect to the Reporting Person’s holdings are calculated based upon a statement in the Issuer’s Quarterly Report on Form 10-Q, as filed with the Securities and Exchange Commission on November 10, 2021, that as of November 1, 2021, the Issuer had 24,923,363 shares of its common stock, $0.001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-885190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-1477010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360" w:hanging="556"/>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Decibel Therapeutics, Inc.</w:t>
      </w:r>
    </w:p>
    <w:p>
      <w:pPr>
        <w:spacing w:after="0" w:line="210" w:lineRule="exact"/>
        <w:rPr>
          <w:rFonts w:ascii="Arial" w:cs="Arial" w:eastAsia="Arial" w:hAnsi="Arial"/>
          <w:sz w:val="18"/>
          <w:szCs w:val="18"/>
          <w:color w:val="auto"/>
        </w:rPr>
      </w:pPr>
    </w:p>
    <w:p>
      <w:pPr>
        <w:ind w:left="1360" w:right="5359" w:hanging="556"/>
        <w:spacing w:after="0" w:line="258"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 1325 Boylston Street, Suite 500</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Boston, Massachusetts 02215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360" w:right="6419" w:hanging="556"/>
        <w:spacing w:after="0" w:line="381" w:lineRule="auto"/>
        <w:tabs>
          <w:tab w:leader="none" w:pos="13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Name of Person Filing Regeneron Pharmaceuticals, Inc.</w:t>
      </w:r>
    </w:p>
    <w:p>
      <w:pPr>
        <w:spacing w:after="0" w:line="100" w:lineRule="exact"/>
        <w:rPr>
          <w:rFonts w:ascii="Arial" w:cs="Arial" w:eastAsia="Arial" w:hAnsi="Arial"/>
          <w:sz w:val="15"/>
          <w:szCs w:val="15"/>
          <w:color w:val="auto"/>
        </w:rPr>
      </w:pPr>
    </w:p>
    <w:p>
      <w:pPr>
        <w:ind w:left="1360" w:right="4499" w:hanging="556"/>
        <w:spacing w:after="0" w:line="258" w:lineRule="auto"/>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777 Old Saw Mill River Road,</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Tarrytown, NY 10591</w:t>
      </w:r>
    </w:p>
    <w:p>
      <w:pPr>
        <w:spacing w:after="0" w:line="210" w:lineRule="exact"/>
        <w:rPr>
          <w:rFonts w:ascii="Arial" w:cs="Arial" w:eastAsia="Arial" w:hAnsi="Arial"/>
          <w:sz w:val="18"/>
          <w:szCs w:val="18"/>
          <w:color w:val="auto"/>
        </w:rPr>
      </w:pPr>
    </w:p>
    <w:p>
      <w:pPr>
        <w:ind w:left="1360" w:right="7959" w:hanging="556"/>
        <w:spacing w:after="0" w:line="342" w:lineRule="auto"/>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Citizenship New York</w:t>
      </w:r>
    </w:p>
    <w:p>
      <w:pPr>
        <w:spacing w:after="0" w:line="123" w:lineRule="exact"/>
        <w:rPr>
          <w:rFonts w:ascii="Arial" w:cs="Arial" w:eastAsia="Arial" w:hAnsi="Arial"/>
          <w:sz w:val="16"/>
          <w:szCs w:val="16"/>
          <w:color w:val="auto"/>
        </w:rPr>
      </w:pPr>
    </w:p>
    <w:p>
      <w:pPr>
        <w:ind w:left="1360" w:hanging="556"/>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Common Stock, par value $0.001 per share</w:t>
      </w:r>
    </w:p>
    <w:p>
      <w:pPr>
        <w:spacing w:after="0" w:line="210" w:lineRule="exact"/>
        <w:rPr>
          <w:rFonts w:ascii="Arial" w:cs="Arial" w:eastAsia="Arial" w:hAnsi="Arial"/>
          <w:sz w:val="18"/>
          <w:szCs w:val="18"/>
          <w:color w:val="auto"/>
        </w:rPr>
      </w:pPr>
    </w:p>
    <w:p>
      <w:pPr>
        <w:ind w:left="1360" w:right="7639" w:hanging="556"/>
        <w:spacing w:after="0" w:line="342" w:lineRule="auto"/>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24343R106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60" w:right="7800" w:hanging="556"/>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2,097,314</w:t>
      </w:r>
    </w:p>
    <w:p>
      <w:pPr>
        <w:spacing w:after="0" w:line="170" w:lineRule="exact"/>
        <w:rPr>
          <w:rFonts w:ascii="Arial" w:cs="Arial" w:eastAsia="Arial" w:hAnsi="Arial"/>
          <w:sz w:val="18"/>
          <w:szCs w:val="18"/>
          <w:color w:val="auto"/>
        </w:rPr>
      </w:pPr>
    </w:p>
    <w:p>
      <w:pPr>
        <w:ind w:left="1360" w:right="8720" w:hanging="556"/>
        <w:spacing w:after="0" w:line="277" w:lineRule="auto"/>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8.42% *</w:t>
      </w:r>
    </w:p>
    <w:p>
      <w:pPr>
        <w:spacing w:after="0" w:line="386" w:lineRule="exact"/>
        <w:rPr>
          <w:rFonts w:ascii="Arial" w:cs="Arial" w:eastAsia="Arial" w:hAnsi="Arial"/>
          <w:sz w:val="18"/>
          <w:szCs w:val="18"/>
          <w:color w:val="auto"/>
        </w:rPr>
      </w:pPr>
    </w:p>
    <w:p>
      <w:pPr>
        <w:ind w:left="1380" w:hanging="576"/>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920" w:right="6540" w:hanging="549"/>
        <w:spacing w:after="0" w:line="500"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2,097,314</w:t>
      </w:r>
    </w:p>
    <w:p>
      <w:pPr>
        <w:spacing w:after="0" w:line="1" w:lineRule="exact"/>
        <w:rPr>
          <w:rFonts w:ascii="Arial" w:cs="Arial" w:eastAsia="Arial" w:hAnsi="Arial"/>
          <w:sz w:val="18"/>
          <w:szCs w:val="18"/>
          <w:color w:val="auto"/>
        </w:rPr>
      </w:pPr>
    </w:p>
    <w:p>
      <w:pPr>
        <w:ind w:left="1920" w:right="6360" w:hanging="549"/>
        <w:spacing w:after="0" w:line="500"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1920" w:right="5640" w:hanging="549"/>
        <w:spacing w:after="0" w:line="500"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2,097,314</w:t>
      </w:r>
    </w:p>
    <w:p>
      <w:pPr>
        <w:spacing w:after="0" w:line="1" w:lineRule="exact"/>
        <w:rPr>
          <w:rFonts w:ascii="Arial" w:cs="Arial" w:eastAsia="Arial" w:hAnsi="Arial"/>
          <w:sz w:val="18"/>
          <w:szCs w:val="18"/>
          <w:color w:val="auto"/>
        </w:rPr>
      </w:pPr>
    </w:p>
    <w:p>
      <w:pPr>
        <w:ind w:left="1920" w:right="5460" w:hanging="549"/>
        <w:spacing w:after="0" w:line="527" w:lineRule="auto"/>
        <w:tabs>
          <w:tab w:leader="none" w:pos="1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71" w:lineRule="exact"/>
        <w:rPr>
          <w:sz w:val="20"/>
          <w:szCs w:val="20"/>
          <w:color w:val="auto"/>
        </w:rPr>
      </w:pPr>
    </w:p>
    <w:p>
      <w:pPr>
        <w:jc w:val="both"/>
        <w:ind w:left="660" w:hanging="4"/>
        <w:spacing w:after="0" w:line="263" w:lineRule="auto"/>
        <w:tabs>
          <w:tab w:leader="none" w:pos="8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percentages reported herein with respect to the Reporting Person’s holdings are calculated based upon a statement in the Issuer’s Quarterly Report on Form 10-Q, as filed with the Securities and Exchange Commission on November 10, 2021, that as of November 1, 2021, the Issuer had 24,923,363 shares of its common stock, $0.001 par value per share, outstanding.</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firstLine="972"/>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2022</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Leonard N. Brooks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Leonard N. Brooks</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Vice President,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lvl w:ilvl="1">
      <w:lvlJc w:val="left"/>
      <w:lvlText w:val="(%2)"/>
      <w:numFmt w:val="lowerLetter"/>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
      <w:numFmt w:val="bullet"/>
      <w:start w:val="1"/>
    </w:lvl>
    <w:lvl w:ilvl="1">
      <w:lvlJc w:val="left"/>
      <w:lvlText w:val="%2"/>
      <w:numFmt w:val="decimal"/>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lvl w:ilvl="1">
      <w:lvlJc w:val="left"/>
      <w:lvlText w:val="(%2)"/>
      <w:numFmt w:val="lowerRoman"/>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2022-02-12T02:48:13Z</dcterms:created>
  <dcterms:modified xsi:type="dcterms:W3CDTF">2022-02-12T02:48:13Z</dcterms:modified>
</cp:coreProperties>
</file>