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660"/>
        <w:spacing w:after="0"/>
        <w:rPr>
          <w:sz w:val="20"/>
          <w:szCs w:val="20"/>
          <w:color w:val="auto"/>
        </w:rPr>
      </w:pPr>
      <w:r>
        <w:rPr>
          <w:rFonts w:ascii="Courier New" w:cs="Courier New" w:eastAsia="Courier New" w:hAnsi="Courier New"/>
          <w:sz w:val="15"/>
          <w:szCs w:val="15"/>
          <w:color w:val="auto"/>
        </w:rPr>
        <w:t>Filed pursuant to Rule No. 424(b)(3)</w:t>
      </w:r>
    </w:p>
    <w:p>
      <w:pPr>
        <w:spacing w:after="0" w:line="6" w:lineRule="exact"/>
        <w:rPr>
          <w:sz w:val="24"/>
          <w:szCs w:val="24"/>
          <w:color w:val="auto"/>
        </w:rPr>
      </w:pPr>
    </w:p>
    <w:p>
      <w:pPr>
        <w:jc w:val="right"/>
        <w:ind w:right="4660"/>
        <w:spacing w:after="0"/>
        <w:rPr>
          <w:sz w:val="20"/>
          <w:szCs w:val="20"/>
          <w:color w:val="auto"/>
        </w:rPr>
      </w:pPr>
      <w:r>
        <w:rPr>
          <w:rFonts w:ascii="Courier New" w:cs="Courier New" w:eastAsia="Courier New" w:hAnsi="Courier New"/>
          <w:sz w:val="15"/>
          <w:szCs w:val="15"/>
          <w:color w:val="auto"/>
        </w:rPr>
        <w:t>File Number 333-74464</w:t>
      </w:r>
    </w:p>
    <w:p>
      <w:pPr>
        <w:spacing w:after="0" w:line="359" w:lineRule="exact"/>
        <w:rPr>
          <w:sz w:val="24"/>
          <w:szCs w:val="24"/>
          <w:color w:val="auto"/>
        </w:rPr>
      </w:pPr>
    </w:p>
    <w:p>
      <w:pPr>
        <w:jc w:val="center"/>
        <w:ind w:right="4654"/>
        <w:spacing w:after="0"/>
        <w:rPr>
          <w:sz w:val="20"/>
          <w:szCs w:val="20"/>
          <w:color w:val="auto"/>
        </w:rPr>
      </w:pPr>
      <w:r>
        <w:rPr>
          <w:rFonts w:ascii="Courier New" w:cs="Courier New" w:eastAsia="Courier New" w:hAnsi="Courier New"/>
          <w:sz w:val="15"/>
          <w:szCs w:val="15"/>
          <w:color w:val="auto"/>
        </w:rPr>
        <w:t>PROSPECTUS SUPPLEMENT NO. 1</w:t>
      </w:r>
    </w:p>
    <w:p>
      <w:pPr>
        <w:spacing w:after="0" w:line="6" w:lineRule="exact"/>
        <w:rPr>
          <w:sz w:val="24"/>
          <w:szCs w:val="24"/>
          <w:color w:val="auto"/>
        </w:rPr>
      </w:pPr>
    </w:p>
    <w:p>
      <w:pPr>
        <w:jc w:val="center"/>
        <w:ind w:right="4654"/>
        <w:spacing w:after="0"/>
        <w:rPr>
          <w:sz w:val="20"/>
          <w:szCs w:val="20"/>
          <w:color w:val="auto"/>
        </w:rPr>
      </w:pPr>
      <w:r>
        <w:rPr>
          <w:rFonts w:ascii="Courier New" w:cs="Courier New" w:eastAsia="Courier New" w:hAnsi="Courier New"/>
          <w:sz w:val="15"/>
          <w:szCs w:val="15"/>
          <w:color w:val="auto"/>
        </w:rPr>
        <w:t>Regeneron Pharmaceuticals, Inc.</w:t>
      </w:r>
    </w:p>
    <w:p>
      <w:pPr>
        <w:spacing w:after="0" w:line="182" w:lineRule="exact"/>
        <w:rPr>
          <w:sz w:val="24"/>
          <w:szCs w:val="24"/>
          <w:color w:val="auto"/>
        </w:rPr>
      </w:pPr>
    </w:p>
    <w:p>
      <w:pPr>
        <w:jc w:val="center"/>
        <w:ind w:right="4554"/>
        <w:spacing w:after="0"/>
        <w:rPr>
          <w:sz w:val="20"/>
          <w:szCs w:val="20"/>
          <w:color w:val="auto"/>
        </w:rPr>
      </w:pPr>
      <w:r>
        <w:rPr>
          <w:rFonts w:ascii="Courier New" w:cs="Courier New" w:eastAsia="Courier New" w:hAnsi="Courier New"/>
          <w:sz w:val="15"/>
          <w:szCs w:val="15"/>
          <w:color w:val="auto"/>
        </w:rPr>
        <w:t>$200,000,000</w:t>
      </w:r>
    </w:p>
    <w:p>
      <w:pPr>
        <w:spacing w:after="0" w:line="6" w:lineRule="exact"/>
        <w:rPr>
          <w:sz w:val="24"/>
          <w:szCs w:val="24"/>
          <w:color w:val="auto"/>
        </w:rPr>
      </w:pPr>
    </w:p>
    <w:p>
      <w:pPr>
        <w:jc w:val="center"/>
        <w:ind w:right="4554"/>
        <w:spacing w:after="0"/>
        <w:rPr>
          <w:sz w:val="20"/>
          <w:szCs w:val="20"/>
          <w:color w:val="auto"/>
        </w:rPr>
      </w:pPr>
      <w:r>
        <w:rPr>
          <w:rFonts w:ascii="Courier New" w:cs="Courier New" w:eastAsia="Courier New" w:hAnsi="Courier New"/>
          <w:sz w:val="15"/>
          <w:szCs w:val="15"/>
          <w:color w:val="auto"/>
        </w:rPr>
        <w:t>5.50% Convertible Senior Subordinated Notes due 2008</w:t>
      </w:r>
    </w:p>
    <w:p>
      <w:pPr>
        <w:spacing w:after="0" w:line="6" w:lineRule="exact"/>
        <w:rPr>
          <w:sz w:val="24"/>
          <w:szCs w:val="24"/>
          <w:color w:val="auto"/>
        </w:rPr>
      </w:pPr>
    </w:p>
    <w:p>
      <w:pPr>
        <w:jc w:val="center"/>
        <w:ind w:right="4554"/>
        <w:spacing w:after="0"/>
        <w:rPr>
          <w:sz w:val="20"/>
          <w:szCs w:val="20"/>
          <w:color w:val="auto"/>
        </w:rPr>
      </w:pPr>
      <w:r>
        <w:rPr>
          <w:rFonts w:ascii="Courier New" w:cs="Courier New" w:eastAsia="Courier New" w:hAnsi="Courier New"/>
          <w:sz w:val="15"/>
          <w:szCs w:val="15"/>
          <w:color w:val="auto"/>
        </w:rPr>
        <w:t>and Shares of Common Stock Issuable upon Conversion of the Notes</w:t>
      </w:r>
    </w:p>
    <w:p>
      <w:pPr>
        <w:spacing w:after="0" w:line="359" w:lineRule="exact"/>
        <w:rPr>
          <w:sz w:val="24"/>
          <w:szCs w:val="24"/>
          <w:color w:val="auto"/>
        </w:rPr>
      </w:pPr>
    </w:p>
    <w:p>
      <w:pPr>
        <w:ind w:left="6" w:right="4660" w:firstLine="824"/>
        <w:spacing w:after="0" w:line="249" w:lineRule="auto"/>
        <w:rPr>
          <w:sz w:val="20"/>
          <w:szCs w:val="20"/>
          <w:color w:val="auto"/>
        </w:rPr>
      </w:pPr>
      <w:r>
        <w:rPr>
          <w:rFonts w:ascii="Courier New" w:cs="Courier New" w:eastAsia="Courier New" w:hAnsi="Courier New"/>
          <w:sz w:val="15"/>
          <w:szCs w:val="15"/>
          <w:color w:val="auto"/>
        </w:rPr>
        <w:t>This prospectus supplement supplements the prospectus, dated January 24, 2002 of Regeneron Pharmaceuticals, Inc. relating to the sale by certain of our securityholders (including their pledgees, donees, assignees, transferees, successors and others who later hold any of the securityholders' interests) of up to $200,000,000 aggregate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351" w:lineRule="exact"/>
        <w:rPr>
          <w:sz w:val="24"/>
          <w:szCs w:val="24"/>
          <w:color w:val="auto"/>
        </w:rPr>
      </w:pPr>
    </w:p>
    <w:p>
      <w:pPr>
        <w:ind w:left="6" w:right="4840" w:firstLine="824"/>
        <w:spacing w:after="0" w:line="250" w:lineRule="auto"/>
        <w:rPr>
          <w:sz w:val="20"/>
          <w:szCs w:val="20"/>
          <w:color w:val="auto"/>
        </w:rPr>
      </w:pPr>
      <w:r>
        <w:rPr>
          <w:rFonts w:ascii="Courier New" w:cs="Courier New" w:eastAsia="Courier New" w:hAnsi="Courier New"/>
          <w:sz w:val="15"/>
          <w:szCs w:val="15"/>
          <w:color w:val="auto"/>
        </w:rPr>
        <w:t>The table of selling securityholders contained in the prospectus is hereby modified to add as follows:</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6"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300" w:type="dxa"/>
            <w:vAlign w:val="bottom"/>
          </w:tcPr>
          <w:p>
            <w:pPr>
              <w:jc w:val="right"/>
              <w:spacing w:after="0"/>
              <w:rPr>
                <w:sz w:val="20"/>
                <w:szCs w:val="20"/>
                <w:color w:val="auto"/>
              </w:rPr>
            </w:pPr>
            <w:r>
              <w:rPr>
                <w:rFonts w:ascii="Courier New" w:cs="Courier New" w:eastAsia="Courier New" w:hAnsi="Courier New"/>
                <w:sz w:val="15"/>
                <w:szCs w:val="15"/>
                <w:color w:val="auto"/>
              </w:rPr>
              <w:t>Aggregate Principal</w:t>
            </w:r>
          </w:p>
        </w:tc>
        <w:tc>
          <w:tcPr>
            <w:tcW w:w="1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6"/>
        </w:trPr>
        <w:tc>
          <w:tcPr>
            <w:tcW w:w="3700" w:type="dxa"/>
            <w:vAlign w:val="bottom"/>
          </w:tcPr>
          <w:p>
            <w:pPr>
              <w:spacing w:after="0"/>
              <w:rPr>
                <w:sz w:val="15"/>
                <w:szCs w:val="15"/>
                <w:color w:val="auto"/>
              </w:rPr>
            </w:pPr>
          </w:p>
        </w:tc>
        <w:tc>
          <w:tcPr>
            <w:tcW w:w="23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Amount at</w:t>
            </w:r>
          </w:p>
        </w:tc>
        <w:tc>
          <w:tcPr>
            <w:tcW w:w="1600" w:type="dxa"/>
            <w:vAlign w:val="bottom"/>
          </w:tcPr>
          <w:p>
            <w:pPr>
              <w:spacing w:after="0"/>
              <w:rPr>
                <w:sz w:val="15"/>
                <w:szCs w:val="15"/>
                <w:color w:val="auto"/>
              </w:rPr>
            </w:pP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Number of Shares</w:t>
            </w:r>
          </w:p>
        </w:tc>
        <w:tc>
          <w:tcPr>
            <w:tcW w:w="19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Percentage of</w:t>
            </w:r>
          </w:p>
        </w:tc>
      </w:tr>
      <w:tr>
        <w:trPr>
          <w:trHeight w:val="176"/>
        </w:trPr>
        <w:tc>
          <w:tcPr>
            <w:tcW w:w="3700" w:type="dxa"/>
            <w:vAlign w:val="bottom"/>
          </w:tcPr>
          <w:p>
            <w:pPr>
              <w:spacing w:after="0"/>
              <w:rPr>
                <w:sz w:val="15"/>
                <w:szCs w:val="15"/>
                <w:color w:val="auto"/>
              </w:rPr>
            </w:pPr>
          </w:p>
        </w:tc>
        <w:tc>
          <w:tcPr>
            <w:tcW w:w="2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Maturity of the</w:t>
            </w:r>
          </w:p>
        </w:tc>
        <w:tc>
          <w:tcPr>
            <w:tcW w:w="160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Percentage of</w:t>
            </w:r>
          </w:p>
        </w:tc>
        <w:tc>
          <w:tcPr>
            <w:tcW w:w="2020" w:type="dxa"/>
            <w:vAlign w:val="bottom"/>
          </w:tcPr>
          <w:p>
            <w:pPr>
              <w:ind w:left="180"/>
              <w:spacing w:after="0"/>
              <w:rPr>
                <w:sz w:val="20"/>
                <w:szCs w:val="20"/>
                <w:color w:val="auto"/>
              </w:rPr>
            </w:pPr>
            <w:r>
              <w:rPr>
                <w:rFonts w:ascii="Courier New" w:cs="Courier New" w:eastAsia="Courier New" w:hAnsi="Courier New"/>
                <w:sz w:val="15"/>
                <w:szCs w:val="15"/>
                <w:color w:val="auto"/>
              </w:rPr>
              <w:t>of Common Stock</w:t>
            </w:r>
          </w:p>
        </w:tc>
        <w:tc>
          <w:tcPr>
            <w:tcW w:w="1900" w:type="dxa"/>
            <w:vAlign w:val="bottom"/>
          </w:tcPr>
          <w:p>
            <w:pPr>
              <w:jc w:val="center"/>
              <w:ind w:right="84"/>
              <w:spacing w:after="0"/>
              <w:rPr>
                <w:sz w:val="20"/>
                <w:szCs w:val="20"/>
                <w:color w:val="auto"/>
              </w:rPr>
            </w:pPr>
            <w:r>
              <w:rPr>
                <w:rFonts w:ascii="Courier New" w:cs="Courier New" w:eastAsia="Courier New" w:hAnsi="Courier New"/>
                <w:sz w:val="15"/>
                <w:szCs w:val="15"/>
                <w:color w:val="auto"/>
              </w:rPr>
              <w:t>Shares of</w:t>
            </w:r>
          </w:p>
        </w:tc>
      </w:tr>
      <w:tr>
        <w:trPr>
          <w:trHeight w:val="176"/>
        </w:trPr>
        <w:tc>
          <w:tcPr>
            <w:tcW w:w="3700" w:type="dxa"/>
            <w:vAlign w:val="bottom"/>
          </w:tcPr>
          <w:p>
            <w:pPr>
              <w:spacing w:after="0"/>
              <w:rPr>
                <w:sz w:val="15"/>
                <w:szCs w:val="15"/>
                <w:color w:val="auto"/>
              </w:rPr>
            </w:pPr>
          </w:p>
        </w:tc>
        <w:tc>
          <w:tcPr>
            <w:tcW w:w="23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Notes</w:t>
            </w:r>
          </w:p>
        </w:tc>
        <w:tc>
          <w:tcPr>
            <w:tcW w:w="16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Notes</w:t>
            </w:r>
          </w:p>
        </w:tc>
        <w:tc>
          <w:tcPr>
            <w:tcW w:w="2020" w:type="dxa"/>
            <w:vAlign w:val="bottom"/>
          </w:tcPr>
          <w:p>
            <w:pPr>
              <w:ind w:left="460"/>
              <w:spacing w:after="0"/>
              <w:rPr>
                <w:sz w:val="20"/>
                <w:szCs w:val="20"/>
                <w:color w:val="auto"/>
              </w:rPr>
            </w:pPr>
            <w:r>
              <w:rPr>
                <w:rFonts w:ascii="Courier New" w:cs="Courier New" w:eastAsia="Courier New" w:hAnsi="Courier New"/>
                <w:sz w:val="15"/>
                <w:szCs w:val="15"/>
                <w:color w:val="auto"/>
              </w:rPr>
              <w:t>that may</w:t>
            </w:r>
          </w:p>
        </w:tc>
        <w:tc>
          <w:tcPr>
            <w:tcW w:w="19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Common Stock</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3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that may be Sold</w:t>
            </w:r>
          </w:p>
        </w:tc>
        <w:tc>
          <w:tcPr>
            <w:tcW w:w="160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Outstanding</w:t>
            </w:r>
          </w:p>
        </w:tc>
        <w:tc>
          <w:tcPr>
            <w:tcW w:w="2020" w:type="dxa"/>
            <w:vAlign w:val="bottom"/>
          </w:tcPr>
          <w:p>
            <w:pPr>
              <w:ind w:left="460"/>
              <w:spacing w:after="0"/>
              <w:rPr>
                <w:sz w:val="20"/>
                <w:szCs w:val="20"/>
                <w:color w:val="auto"/>
              </w:rPr>
            </w:pPr>
            <w:r>
              <w:rPr>
                <w:rFonts w:ascii="Courier New" w:cs="Courier New" w:eastAsia="Courier New" w:hAnsi="Courier New"/>
                <w:sz w:val="15"/>
                <w:szCs w:val="15"/>
                <w:color w:val="auto"/>
              </w:rPr>
              <w:t>be Sold (1)</w:t>
            </w:r>
          </w:p>
        </w:tc>
        <w:tc>
          <w:tcPr>
            <w:tcW w:w="19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Outstanding (2)</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Canyon Capital Arbitrage</w:t>
            </w:r>
          </w:p>
        </w:tc>
        <w:tc>
          <w:tcPr>
            <w:tcW w:w="2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Master Fund, Ltd.</w:t>
            </w:r>
          </w:p>
        </w:tc>
        <w:tc>
          <w:tcPr>
            <w:tcW w:w="2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$1,000,000</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33,056</w:t>
            </w:r>
          </w:p>
        </w:tc>
        <w:tc>
          <w:tcPr>
            <w:tcW w:w="1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Canyon MAC 18 Ltd. (RMF)</w:t>
            </w:r>
          </w:p>
        </w:tc>
        <w:tc>
          <w:tcPr>
            <w:tcW w:w="2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$250,000</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8,264</w:t>
            </w:r>
          </w:p>
        </w:tc>
        <w:tc>
          <w:tcPr>
            <w:tcW w:w="1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Canyon Value Realization Fund</w:t>
            </w:r>
          </w:p>
        </w:tc>
        <w:tc>
          <w:tcPr>
            <w:tcW w:w="2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(Cayman), Ltd.</w:t>
            </w:r>
          </w:p>
        </w:tc>
        <w:tc>
          <w:tcPr>
            <w:tcW w:w="2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$1,500,000</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49,584</w:t>
            </w:r>
          </w:p>
        </w:tc>
        <w:tc>
          <w:tcPr>
            <w:tcW w:w="1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Canyon Value Realization Fund, L.P.</w:t>
            </w:r>
          </w:p>
        </w:tc>
        <w:tc>
          <w:tcPr>
            <w:tcW w:w="2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$750,000</w:t>
            </w:r>
          </w:p>
        </w:tc>
        <w:tc>
          <w:tcPr>
            <w:tcW w:w="16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24,792</w:t>
            </w:r>
          </w:p>
        </w:tc>
        <w:tc>
          <w:tcPr>
            <w:tcW w:w="1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Merrill, Lynch, Pierce, Fenner</w:t>
            </w:r>
          </w:p>
        </w:tc>
        <w:tc>
          <w:tcPr>
            <w:tcW w:w="2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and Smith Inc</w:t>
            </w:r>
          </w:p>
        </w:tc>
        <w:tc>
          <w:tcPr>
            <w:tcW w:w="2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$5,000,000</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2.5%</w:t>
            </w:r>
          </w:p>
        </w:tc>
        <w:tc>
          <w:tcPr>
            <w:tcW w:w="20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165,282</w:t>
            </w:r>
          </w:p>
        </w:tc>
        <w:tc>
          <w:tcPr>
            <w:tcW w:w="1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TQA Master Fund, Ltd.</w:t>
            </w:r>
          </w:p>
        </w:tc>
        <w:tc>
          <w:tcPr>
            <w:tcW w:w="2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$3,750,000</w:t>
            </w:r>
          </w:p>
        </w:tc>
        <w:tc>
          <w:tcPr>
            <w:tcW w:w="160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1.88%</w:t>
            </w:r>
          </w:p>
        </w:tc>
        <w:tc>
          <w:tcPr>
            <w:tcW w:w="20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123,961</w:t>
            </w:r>
          </w:p>
        </w:tc>
        <w:tc>
          <w:tcPr>
            <w:tcW w:w="1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r>
      <w:tr>
        <w:trPr>
          <w:trHeight w:val="176"/>
        </w:trPr>
        <w:tc>
          <w:tcPr>
            <w:tcW w:w="3700" w:type="dxa"/>
            <w:vAlign w:val="bottom"/>
          </w:tcPr>
          <w:p>
            <w:pPr>
              <w:spacing w:after="0"/>
              <w:rPr>
                <w:sz w:val="20"/>
                <w:szCs w:val="20"/>
                <w:color w:val="auto"/>
              </w:rPr>
            </w:pPr>
            <w:r>
              <w:rPr>
                <w:rFonts w:ascii="Courier New" w:cs="Courier New" w:eastAsia="Courier New" w:hAnsi="Courier New"/>
                <w:sz w:val="15"/>
                <w:szCs w:val="15"/>
                <w:color w:val="auto"/>
              </w:rPr>
              <w:t>Whitebox Convertible Arbitrage</w:t>
            </w:r>
          </w:p>
        </w:tc>
        <w:tc>
          <w:tcPr>
            <w:tcW w:w="23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6"/>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Advisors, LLC</w:t>
            </w:r>
          </w:p>
        </w:tc>
        <w:tc>
          <w:tcPr>
            <w:tcW w:w="23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$2,000,000</w:t>
            </w:r>
          </w:p>
        </w:tc>
        <w:tc>
          <w:tcPr>
            <w:tcW w:w="16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1.0%</w:t>
            </w:r>
          </w:p>
        </w:tc>
        <w:tc>
          <w:tcPr>
            <w:tcW w:w="20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66,113</w:t>
            </w:r>
          </w:p>
        </w:tc>
        <w:tc>
          <w:tcPr>
            <w:tcW w:w="190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88"/>
              </w:rPr>
              <w:t>*</w:t>
            </w:r>
          </w:p>
        </w:tc>
      </w:tr>
    </w:tbl>
    <w:p>
      <w:pPr>
        <w:spacing w:after="0" w:line="357"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 Less than one percent (1%).</w:t>
      </w:r>
    </w:p>
    <w:p>
      <w:pPr>
        <w:spacing w:after="0" w:line="182" w:lineRule="exact"/>
        <w:rPr>
          <w:sz w:val="24"/>
          <w:szCs w:val="24"/>
          <w:color w:val="auto"/>
        </w:rPr>
      </w:pPr>
    </w:p>
    <w:p>
      <w:pPr>
        <w:ind w:left="466" w:right="4660" w:hanging="466"/>
        <w:spacing w:after="0" w:line="248"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conversion of all of the holder's notes at a conversion rate of 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3" w:lineRule="exact"/>
        <w:rPr>
          <w:rFonts w:ascii="Courier New" w:cs="Courier New" w:eastAsia="Courier New" w:hAnsi="Courier New"/>
          <w:sz w:val="15"/>
          <w:szCs w:val="15"/>
          <w:color w:val="auto"/>
        </w:rPr>
      </w:pPr>
    </w:p>
    <w:p>
      <w:pPr>
        <w:ind w:left="466" w:right="4660" w:hanging="466"/>
        <w:spacing w:after="0" w:line="249"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Rule 13d-3(d)(i) of the Exchange Act, using 43,826,969 shares of common stock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352" w:lineRule="exact"/>
        <w:rPr>
          <w:sz w:val="24"/>
          <w:szCs w:val="24"/>
          <w:color w:val="auto"/>
        </w:rPr>
      </w:pPr>
    </w:p>
    <w:p>
      <w:pPr>
        <w:ind w:left="6" w:right="4660" w:firstLine="824"/>
        <w:spacing w:after="0" w:line="249" w:lineRule="auto"/>
        <w:rPr>
          <w:sz w:val="20"/>
          <w:szCs w:val="20"/>
          <w:color w:val="auto"/>
        </w:rPr>
      </w:pPr>
      <w:r>
        <w:rPr>
          <w:rFonts w:ascii="Courier New" w:cs="Courier New" w:eastAsia="Courier New" w:hAnsi="Courier New"/>
          <w:sz w:val="15"/>
          <w:szCs w:val="15"/>
          <w:color w:val="auto"/>
        </w:rPr>
        <w:t>Investing in the notes or shares of common stock involves risks that are described in the "Risk Factors" section beginning on page 5 of the prospectus.</w:t>
      </w:r>
    </w:p>
    <w:p>
      <w:pPr>
        <w:spacing w:after="0" w:line="176" w:lineRule="exact"/>
        <w:rPr>
          <w:sz w:val="24"/>
          <w:szCs w:val="24"/>
          <w:color w:val="auto"/>
        </w:rPr>
      </w:pPr>
    </w:p>
    <w:p>
      <w:pPr>
        <w:ind w:left="6" w:right="4920" w:firstLine="824"/>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76" w:lineRule="exact"/>
        <w:rPr>
          <w:sz w:val="24"/>
          <w:szCs w:val="24"/>
          <w:color w:val="auto"/>
        </w:rPr>
      </w:pPr>
    </w:p>
    <w:p>
      <w:pPr>
        <w:ind w:left="826"/>
        <w:spacing w:after="0"/>
        <w:rPr>
          <w:sz w:val="20"/>
          <w:szCs w:val="20"/>
          <w:color w:val="auto"/>
        </w:rPr>
      </w:pPr>
      <w:r>
        <w:rPr>
          <w:rFonts w:ascii="Courier New" w:cs="Courier New" w:eastAsia="Courier New" w:hAnsi="Courier New"/>
          <w:sz w:val="15"/>
          <w:szCs w:val="15"/>
          <w:color w:val="auto"/>
        </w:rPr>
        <w:t>The date of this prospectus supplement is February 1, 2002.</w:t>
      </w:r>
    </w:p>
    <w:sectPr>
      <w:pgSz w:w="11900" w:h="16838" w:orient="portrait"/>
      <w:cols w:equalWidth="0" w:num="1">
        <w:col w:w="11526"/>
      </w:cols>
      <w:pgMar w:left="234" w:top="23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2019-12-11T21:51:31Z</dcterms:created>
  <dcterms:modified xsi:type="dcterms:W3CDTF">2019-12-11T21:51:31Z</dcterms:modified>
</cp:coreProperties>
</file>