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54"/>
        <w:spacing w:after="0"/>
        <w:rPr>
          <w:sz w:val="20"/>
          <w:szCs w:val="20"/>
          <w:color w:val="auto"/>
        </w:rPr>
      </w:pPr>
      <w:r>
        <w:rPr>
          <w:rFonts w:ascii="Courier New" w:cs="Courier New" w:eastAsia="Courier New" w:hAnsi="Courier New"/>
          <w:sz w:val="15"/>
          <w:szCs w:val="15"/>
          <w:color w:val="auto"/>
        </w:rPr>
        <w:t>UNITED STATES</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Washington, D.C. 20549</w:t>
      </w:r>
    </w:p>
    <w:p>
      <w:pPr>
        <w:spacing w:after="0" w:line="185" w:lineRule="exact"/>
        <w:rPr>
          <w:sz w:val="24"/>
          <w:szCs w:val="24"/>
          <w:color w:val="auto"/>
        </w:rPr>
      </w:pPr>
    </w:p>
    <w:p>
      <w:pPr>
        <w:ind w:left="3325"/>
        <w:spacing w:after="0"/>
        <w:rPr>
          <w:sz w:val="20"/>
          <w:szCs w:val="20"/>
          <w:color w:val="auto"/>
        </w:rPr>
      </w:pPr>
      <w:r>
        <w:rPr>
          <w:rFonts w:ascii="Courier New" w:cs="Courier New" w:eastAsia="Courier New" w:hAnsi="Courier New"/>
          <w:sz w:val="15"/>
          <w:szCs w:val="15"/>
          <w:color w:val="auto"/>
        </w:rPr>
        <w:t>Form 10-Q</w:t>
      </w:r>
    </w:p>
    <w:p>
      <w:pPr>
        <w:spacing w:after="0" w:line="185" w:lineRule="exact"/>
        <w:rPr>
          <w:sz w:val="24"/>
          <w:szCs w:val="24"/>
          <w:color w:val="auto"/>
        </w:rPr>
      </w:pPr>
    </w:p>
    <w:p>
      <w:pPr>
        <w:ind w:left="825"/>
        <w:spacing w:after="0"/>
        <w:rPr>
          <w:sz w:val="20"/>
          <w:szCs w:val="20"/>
          <w:color w:val="auto"/>
        </w:rPr>
      </w:pPr>
      <w:r>
        <w:rPr>
          <w:rFonts w:ascii="Courier New" w:cs="Courier New" w:eastAsia="Courier New" w:hAnsi="Courier New"/>
          <w:sz w:val="15"/>
          <w:szCs w:val="15"/>
          <w:color w:val="auto"/>
        </w:rPr>
        <w:t>(Mark One)</w:t>
      </w:r>
    </w:p>
    <w:p>
      <w:pPr>
        <w:spacing w:after="0" w:line="8" w:lineRule="exact"/>
        <w:rPr>
          <w:sz w:val="24"/>
          <w:szCs w:val="24"/>
          <w:color w:val="auto"/>
        </w:rPr>
      </w:pPr>
    </w:p>
    <w:p>
      <w:pPr>
        <w:ind w:left="825" w:right="3299" w:hanging="825"/>
        <w:spacing w:after="0" w:line="253" w:lineRule="auto"/>
        <w:tabs>
          <w:tab w:leader="none" w:pos="82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4"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quarterly period ended September 30, 1999</w:t>
      </w:r>
    </w:p>
    <w:p>
      <w:pPr>
        <w:spacing w:after="0" w:line="185" w:lineRule="exact"/>
        <w:rPr>
          <w:sz w:val="24"/>
          <w:szCs w:val="24"/>
          <w:color w:val="auto"/>
        </w:rPr>
      </w:pPr>
    </w:p>
    <w:p>
      <w:pPr>
        <w:ind w:left="3605"/>
        <w:spacing w:after="0"/>
        <w:rPr>
          <w:sz w:val="20"/>
          <w:szCs w:val="20"/>
          <w:color w:val="auto"/>
        </w:rPr>
      </w:pPr>
      <w:r>
        <w:rPr>
          <w:rFonts w:ascii="Courier New" w:cs="Courier New" w:eastAsia="Courier New" w:hAnsi="Courier New"/>
          <w:sz w:val="15"/>
          <w:szCs w:val="15"/>
          <w:color w:val="auto"/>
        </w:rPr>
        <w:t>OR</w:t>
      </w:r>
    </w:p>
    <w:p>
      <w:pPr>
        <w:spacing w:after="0" w:line="185" w:lineRule="exact"/>
        <w:rPr>
          <w:sz w:val="24"/>
          <w:szCs w:val="24"/>
          <w:color w:val="auto"/>
        </w:rPr>
      </w:pPr>
    </w:p>
    <w:p>
      <w:pPr>
        <w:ind w:left="825" w:right="3119" w:hanging="825"/>
        <w:spacing w:after="0" w:line="253"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 (d) OF THE SECURITIES EXCHANGE ACT OF 1934</w:t>
      </w:r>
    </w:p>
    <w:p>
      <w:pPr>
        <w:sectPr>
          <w:pgSz w:w="11900" w:h="16838" w:orient="portrait"/>
          <w:cols w:equalWidth="0" w:num="1">
            <w:col w:w="10225"/>
          </w:cols>
          <w:pgMar w:left="235" w:top="922" w:right="1440" w:bottom="1440" w:gutter="0" w:footer="0" w:header="0"/>
        </w:sectPr>
      </w:pPr>
    </w:p>
    <w:p>
      <w:pPr>
        <w:spacing w:after="0" w:line="174" w:lineRule="exact"/>
        <w:rPr>
          <w:sz w:val="24"/>
          <w:szCs w:val="24"/>
          <w:color w:val="auto"/>
        </w:rPr>
      </w:pPr>
    </w:p>
    <w:p>
      <w:pPr>
        <w:ind w:left="825"/>
        <w:spacing w:after="0"/>
        <w:rPr>
          <w:sz w:val="20"/>
          <w:szCs w:val="20"/>
          <w:color w:val="auto"/>
        </w:rPr>
      </w:pPr>
      <w:r>
        <w:rPr>
          <w:rFonts w:ascii="Courier New" w:cs="Courier New" w:eastAsia="Courier New" w:hAnsi="Courier New"/>
          <w:sz w:val="15"/>
          <w:szCs w:val="15"/>
          <w:color w:val="auto"/>
        </w:rPr>
        <w:t>For the transition period from</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8" w:lineRule="exact"/>
        <w:rPr>
          <w:sz w:val="24"/>
          <w:szCs w:val="24"/>
          <w:color w:val="auto"/>
        </w:rPr>
      </w:pPr>
    </w:p>
    <w:p>
      <w:pPr>
        <w:sectPr>
          <w:pgSz w:w="11900" w:h="16838" w:orient="portrait"/>
          <w:cols w:equalWidth="0" w:num="2">
            <w:col w:w="4265" w:space="720"/>
            <w:col w:w="5239"/>
          </w:cols>
          <w:pgMar w:left="235" w:top="922" w:right="1440" w:bottom="1440" w:gutter="0" w:footer="0" w:header="0"/>
          <w:type w:val="continuous"/>
        </w:sectPr>
      </w:pPr>
    </w:p>
    <w:p>
      <w:pPr>
        <w:ind w:left="3685"/>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sectPr>
          <w:pgSz w:w="11900" w:h="16838" w:orient="portrait"/>
          <w:cols w:equalWidth="0" w:num="2">
            <w:col w:w="4885" w:space="380"/>
            <w:col w:w="4959"/>
          </w:cols>
          <w:pgMar w:left="235" w:top="922" w:right="1440" w:bottom="1440" w:gutter="0" w:footer="0" w:header="0"/>
          <w:type w:val="continuous"/>
        </w:sectPr>
      </w:pPr>
    </w:p>
    <w:p>
      <w:pPr>
        <w:ind w:left="2205"/>
        <w:spacing w:after="0"/>
        <w:rPr>
          <w:sz w:val="20"/>
          <w:szCs w:val="20"/>
          <w:color w:val="auto"/>
        </w:rPr>
      </w:pPr>
      <w:r>
        <w:rPr>
          <w:rFonts w:ascii="Courier New" w:cs="Courier New" w:eastAsia="Courier New" w:hAnsi="Courier New"/>
          <w:sz w:val="15"/>
          <w:szCs w:val="15"/>
          <w:color w:val="auto"/>
        </w:rPr>
        <w:t>Commission File Number 0-19034</w:t>
      </w:r>
    </w:p>
    <w:p>
      <w:pPr>
        <w:sectPr>
          <w:pgSz w:w="11900" w:h="16838" w:orient="portrait"/>
          <w:cols w:equalWidth="0" w:num="1">
            <w:col w:w="10225"/>
          </w:cols>
          <w:pgMar w:left="235" w:top="922" w:right="1440" w:bottom="1440" w:gutter="0" w:footer="0" w:header="0"/>
          <w:type w:val="continuous"/>
        </w:sectPr>
      </w:pPr>
    </w:p>
    <w:p>
      <w:pPr>
        <w:spacing w:after="0" w:line="185" w:lineRule="exact"/>
        <w:rPr>
          <w:sz w:val="24"/>
          <w:szCs w:val="24"/>
          <w:color w:val="auto"/>
        </w:rPr>
      </w:pPr>
    </w:p>
    <w:p>
      <w:pPr>
        <w:jc w:val="center"/>
        <w:ind w:right="2754"/>
        <w:spacing w:after="0"/>
        <w:rPr>
          <w:sz w:val="20"/>
          <w:szCs w:val="20"/>
          <w:color w:val="auto"/>
        </w:rPr>
      </w:pPr>
      <w:r>
        <w:rPr>
          <w:rFonts w:ascii="Courier New" w:cs="Courier New" w:eastAsia="Courier New" w:hAnsi="Courier New"/>
          <w:sz w:val="15"/>
          <w:szCs w:val="15"/>
          <w:color w:val="auto"/>
        </w:rPr>
        <w:t>REGENERON PHARMACEUTICALS, INC.</w:t>
      </w:r>
    </w:p>
    <w:p>
      <w:pPr>
        <w:spacing w:after="0" w:line="8" w:lineRule="exact"/>
        <w:rPr>
          <w:sz w:val="24"/>
          <w:szCs w:val="24"/>
          <w:color w:val="auto"/>
        </w:rPr>
      </w:pPr>
    </w:p>
    <w:p>
      <w:pPr>
        <w:ind w:left="12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1205"/>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5"/>
          </w:cols>
          <w:pgMar w:left="235" w:top="922" w:right="1440" w:bottom="1440" w:gutter="0" w:footer="0" w:header="0"/>
          <w:type w:val="continuous"/>
        </w:sectPr>
      </w:pPr>
    </w:p>
    <w:p>
      <w:pPr>
        <w:spacing w:after="0" w:line="185" w:lineRule="exact"/>
        <w:rPr>
          <w:sz w:val="24"/>
          <w:szCs w:val="24"/>
          <w:color w:val="auto"/>
        </w:rPr>
      </w:pPr>
    </w:p>
    <w:p>
      <w:pPr>
        <w:ind w:left="1005"/>
        <w:spacing w:after="0"/>
        <w:rPr>
          <w:sz w:val="20"/>
          <w:szCs w:val="20"/>
          <w:color w:val="auto"/>
        </w:rPr>
      </w:pPr>
      <w:r>
        <w:rPr>
          <w:rFonts w:ascii="Courier New" w:cs="Courier New" w:eastAsia="Courier New" w:hAnsi="Courier New"/>
          <w:sz w:val="15"/>
          <w:szCs w:val="15"/>
          <w:color w:val="auto"/>
        </w:rPr>
        <w:t>New York</w:t>
      </w:r>
    </w:p>
    <w:p>
      <w:pPr>
        <w:spacing w:after="0" w:line="8" w:lineRule="exact"/>
        <w:rPr>
          <w:sz w:val="24"/>
          <w:szCs w:val="24"/>
          <w:color w:val="auto"/>
        </w:rPr>
      </w:pPr>
    </w:p>
    <w:p>
      <w:pPr>
        <w:ind w:left="1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185"/>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4"/>
          <w:szCs w:val="24"/>
          <w:color w:val="auto"/>
        </w:rPr>
      </w:pPr>
    </w:p>
    <w:p>
      <w:pPr>
        <w:ind w:left="185"/>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13-3444607</w:t>
      </w:r>
    </w:p>
    <w:p>
      <w:pPr>
        <w:spacing w:after="0" w:line="8"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(I.R.S. Employer Identification No.)</w:t>
      </w:r>
    </w:p>
    <w:p>
      <w:pPr>
        <w:spacing w:after="0" w:line="362" w:lineRule="exact"/>
        <w:rPr>
          <w:sz w:val="24"/>
          <w:szCs w:val="24"/>
          <w:color w:val="auto"/>
        </w:rPr>
      </w:pPr>
    </w:p>
    <w:p>
      <w:pPr>
        <w:sectPr>
          <w:pgSz w:w="11900" w:h="16838" w:orient="portrait"/>
          <w:cols w:equalWidth="0" w:num="2">
            <w:col w:w="3045" w:space="640"/>
            <w:col w:w="6539"/>
          </w:cols>
          <w:pgMar w:left="235" w:top="922" w:right="1440" w:bottom="1440" w:gutter="0" w:footer="0" w:header="0"/>
          <w:type w:val="continuous"/>
        </w:sectPr>
      </w:pPr>
    </w:p>
    <w:p>
      <w:pPr>
        <w:ind w:left="645"/>
        <w:spacing w:after="0"/>
        <w:rPr>
          <w:sz w:val="20"/>
          <w:szCs w:val="20"/>
          <w:color w:val="auto"/>
        </w:rPr>
      </w:pPr>
      <w:r>
        <w:rPr>
          <w:rFonts w:ascii="Courier New" w:cs="Courier New" w:eastAsia="Courier New" w:hAnsi="Courier New"/>
          <w:sz w:val="15"/>
          <w:szCs w:val="15"/>
          <w:color w:val="auto"/>
        </w:rPr>
        <w:t>777 Old Saw Mill River Road</w:t>
      </w:r>
    </w:p>
    <w:p>
      <w:pPr>
        <w:spacing w:after="0" w:line="8" w:lineRule="exact"/>
        <w:rPr>
          <w:sz w:val="24"/>
          <w:szCs w:val="24"/>
          <w:color w:val="auto"/>
        </w:rPr>
      </w:pPr>
    </w:p>
    <w:p>
      <w:pPr>
        <w:ind w:left="925"/>
        <w:spacing w:after="0"/>
        <w:rPr>
          <w:sz w:val="20"/>
          <w:szCs w:val="20"/>
          <w:color w:val="auto"/>
        </w:rPr>
      </w:pPr>
      <w:r>
        <w:rPr>
          <w:rFonts w:ascii="Courier New" w:cs="Courier New" w:eastAsia="Courier New" w:hAnsi="Courier New"/>
          <w:sz w:val="15"/>
          <w:szCs w:val="15"/>
          <w:color w:val="auto"/>
        </w:rPr>
        <w:t>Tarrytown, New York</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10591-6707</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85" w:lineRule="exact"/>
        <w:rPr>
          <w:sz w:val="24"/>
          <w:szCs w:val="24"/>
          <w:color w:val="auto"/>
        </w:rPr>
      </w:pPr>
    </w:p>
    <w:p>
      <w:pPr>
        <w:sectPr>
          <w:pgSz w:w="11900" w:h="16838" w:orient="portrait"/>
          <w:cols w:equalWidth="0" w:num="2">
            <w:col w:w="4085" w:space="720"/>
            <w:col w:w="5419"/>
          </w:cols>
          <w:pgMar w:left="235" w:top="922" w:right="1440" w:bottom="1440" w:gutter="0" w:footer="0" w:header="0"/>
          <w:type w:val="continuous"/>
        </w:sectPr>
      </w:pPr>
    </w:p>
    <w:p>
      <w:pPr>
        <w:jc w:val="center"/>
        <w:ind w:right="2834"/>
        <w:spacing w:after="0"/>
        <w:rPr>
          <w:sz w:val="20"/>
          <w:szCs w:val="20"/>
          <w:color w:val="auto"/>
        </w:rPr>
      </w:pPr>
      <w:r>
        <w:rPr>
          <w:rFonts w:ascii="Courier New" w:cs="Courier New" w:eastAsia="Courier New" w:hAnsi="Courier New"/>
          <w:sz w:val="15"/>
          <w:szCs w:val="15"/>
          <w:color w:val="auto"/>
        </w:rPr>
        <w:t>(914) 347-7000</w:t>
      </w:r>
    </w:p>
    <w:p>
      <w:pPr>
        <w:spacing w:after="0" w:line="8" w:lineRule="exact"/>
        <w:rPr>
          <w:sz w:val="24"/>
          <w:szCs w:val="24"/>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85" w:lineRule="exact"/>
        <w:rPr>
          <w:sz w:val="24"/>
          <w:szCs w:val="24"/>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6" w:lineRule="exact"/>
        <w:rPr>
          <w:sz w:val="24"/>
          <w:szCs w:val="24"/>
          <w:color w:val="auto"/>
        </w:rPr>
      </w:pPr>
    </w:p>
    <w:p>
      <w:pPr>
        <w:ind w:left="3325"/>
        <w:spacing w:after="0"/>
        <w:tabs>
          <w:tab w:leader="none" w:pos="3765" w:val="left"/>
          <w:tab w:leader="none" w:pos="4125" w:val="left"/>
        </w:tabs>
        <w:rPr>
          <w:sz w:val="20"/>
          <w:szCs w:val="20"/>
          <w:color w:val="auto"/>
        </w:rPr>
      </w:pPr>
      <w:r>
        <w:rPr>
          <w:rFonts w:ascii="Courier New" w:cs="Courier New" w:eastAsia="Courier New" w:hAnsi="Courier New"/>
          <w:sz w:val="15"/>
          <w:szCs w:val="15"/>
          <w:color w:val="auto"/>
        </w:rPr>
        <w:t>Yes</w:t>
        <w:tab/>
        <w:t>X</w:t>
      </w:r>
      <w:r>
        <w:rPr>
          <w:sz w:val="20"/>
          <w:szCs w:val="20"/>
          <w:color w:val="auto"/>
        </w:rPr>
        <w:tab/>
      </w:r>
      <w:r>
        <w:rPr>
          <w:rFonts w:ascii="Courier New" w:cs="Courier New" w:eastAsia="Courier New" w:hAnsi="Courier New"/>
          <w:sz w:val="15"/>
          <w:szCs w:val="15"/>
          <w:color w:val="auto"/>
        </w:rPr>
        <w:t>No</w:t>
      </w:r>
    </w:p>
    <w:p>
      <w:pPr>
        <w:spacing w:after="0" w:line="8" w:lineRule="exact"/>
        <w:rPr>
          <w:sz w:val="24"/>
          <w:szCs w:val="24"/>
          <w:color w:val="auto"/>
        </w:rPr>
      </w:pPr>
    </w:p>
    <w:p>
      <w:pPr>
        <w:ind w:left="3685"/>
        <w:spacing w:after="0"/>
        <w:tabs>
          <w:tab w:leader="none" w:pos="432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4"/>
          <w:szCs w:val="24"/>
          <w:color w:val="auto"/>
        </w:rPr>
      </w:pPr>
    </w:p>
    <w:p>
      <w:pPr>
        <w:ind w:left="5" w:right="3219"/>
        <w:spacing w:after="0" w:line="253"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October 29, 1999:</w:t>
      </w:r>
    </w:p>
    <w:p>
      <w:pPr>
        <w:sectPr>
          <w:pgSz w:w="11900" w:h="16838" w:orient="portrait"/>
          <w:cols w:equalWidth="0" w:num="1">
            <w:col w:w="10225"/>
          </w:cols>
          <w:pgMar w:left="235" w:top="922" w:right="1440" w:bottom="1440" w:gutter="0" w:footer="0" w:header="0"/>
          <w:type w:val="continuous"/>
        </w:sectPr>
      </w:pPr>
    </w:p>
    <w:p>
      <w:pPr>
        <w:spacing w:after="0" w:line="174" w:lineRule="exact"/>
        <w:rPr>
          <w:sz w:val="24"/>
          <w:szCs w:val="24"/>
          <w:color w:val="auto"/>
        </w:rPr>
      </w:pPr>
    </w:p>
    <w:p>
      <w:pPr>
        <w:ind w:left="745"/>
        <w:spacing w:after="0"/>
        <w:rPr>
          <w:sz w:val="20"/>
          <w:szCs w:val="20"/>
          <w:color w:val="auto"/>
        </w:rPr>
      </w:pPr>
      <w:r>
        <w:rPr>
          <w:rFonts w:ascii="Courier New" w:cs="Courier New" w:eastAsia="Courier New" w:hAnsi="Courier New"/>
          <w:sz w:val="15"/>
          <w:szCs w:val="15"/>
          <w:color w:val="auto"/>
        </w:rPr>
        <w:t>Class of Common Stock</w:t>
      </w:r>
    </w:p>
    <w:p>
      <w:pPr>
        <w:spacing w:after="0" w:line="8" w:lineRule="exact"/>
        <w:rPr>
          <w:sz w:val="24"/>
          <w:szCs w:val="24"/>
          <w:color w:val="auto"/>
        </w:rPr>
      </w:pPr>
    </w:p>
    <w:p>
      <w:pPr>
        <w:ind w:left="7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545"/>
        <w:spacing w:after="0"/>
        <w:rPr>
          <w:sz w:val="20"/>
          <w:szCs w:val="20"/>
          <w:color w:val="auto"/>
        </w:rPr>
      </w:pPr>
      <w:r>
        <w:rPr>
          <w:rFonts w:ascii="Courier New" w:cs="Courier New" w:eastAsia="Courier New" w:hAnsi="Courier New"/>
          <w:sz w:val="15"/>
          <w:szCs w:val="15"/>
          <w:color w:val="auto"/>
        </w:rPr>
        <w:t>Class A Stock, $0.001 par value</w:t>
      </w:r>
    </w:p>
    <w:p>
      <w:pPr>
        <w:spacing w:after="0" w:line="8" w:lineRule="exact"/>
        <w:rPr>
          <w:sz w:val="24"/>
          <w:szCs w:val="24"/>
          <w:color w:val="auto"/>
        </w:rPr>
      </w:pPr>
    </w:p>
    <w:p>
      <w:pPr>
        <w:ind w:left="545"/>
        <w:spacing w:after="0"/>
        <w:rPr>
          <w:sz w:val="20"/>
          <w:szCs w:val="20"/>
          <w:color w:val="auto"/>
        </w:rPr>
      </w:pPr>
      <w:r>
        <w:rPr>
          <w:rFonts w:ascii="Courier New" w:cs="Courier New" w:eastAsia="Courier New" w:hAnsi="Courier New"/>
          <w:sz w:val="15"/>
          <w:szCs w:val="15"/>
          <w:color w:val="auto"/>
        </w:rPr>
        <w:t>Common Stock, $0.001 par value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3,620,804</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27,704,495</w:t>
      </w:r>
    </w:p>
    <w:p>
      <w:pPr>
        <w:sectPr>
          <w:pgSz w:w="11900" w:h="16838" w:orient="portrait"/>
          <w:cols w:equalWidth="0" w:num="2">
            <w:col w:w="3405" w:space="560"/>
            <w:col w:w="6259"/>
          </w:cols>
          <w:pgMar w:left="235" w:top="922"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20" w:type="dxa"/>
            <w:vAlign w:val="bottom"/>
          </w:tcPr>
          <w:p>
            <w:pPr>
              <w:jc w:val="center"/>
              <w:ind w:right="1643"/>
              <w:spacing w:after="0"/>
              <w:rPr>
                <w:sz w:val="20"/>
                <w:szCs w:val="20"/>
                <w:color w:val="auto"/>
              </w:rPr>
            </w:pPr>
            <w:r>
              <w:rPr>
                <w:rFonts w:ascii="Courier New" w:cs="Courier New" w:eastAsia="Courier New" w:hAnsi="Courier New"/>
                <w:sz w:val="15"/>
                <w:szCs w:val="15"/>
                <w:color w:val="auto"/>
              </w:rPr>
              <w:t>REGENERON PHARMACEUTICALS, INC.</w:t>
            </w:r>
          </w:p>
        </w:tc>
        <w:tc>
          <w:tcPr>
            <w:tcW w:w="1340" w:type="dxa"/>
            <w:vAlign w:val="bottom"/>
          </w:tcPr>
          <w:p>
            <w:pPr>
              <w:spacing w:after="0"/>
              <w:rPr>
                <w:sz w:val="14"/>
                <w:szCs w:val="14"/>
                <w:color w:val="auto"/>
              </w:rPr>
            </w:pPr>
          </w:p>
        </w:tc>
      </w:tr>
      <w:tr>
        <w:trPr>
          <w:trHeight w:val="177"/>
        </w:trPr>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20" w:type="dxa"/>
            <w:vAlign w:val="bottom"/>
          </w:tcPr>
          <w:p>
            <w:pPr>
              <w:jc w:val="center"/>
              <w:ind w:right="1643"/>
              <w:spacing w:after="0"/>
              <w:rPr>
                <w:sz w:val="20"/>
                <w:szCs w:val="20"/>
                <w:color w:val="auto"/>
              </w:rPr>
            </w:pPr>
            <w:r>
              <w:rPr>
                <w:rFonts w:ascii="Courier New" w:cs="Courier New" w:eastAsia="Courier New" w:hAnsi="Courier New"/>
                <w:sz w:val="15"/>
                <w:szCs w:val="15"/>
                <w:color w:val="auto"/>
              </w:rPr>
              <w:t>Table of Contents</w:t>
            </w:r>
          </w:p>
        </w:tc>
        <w:tc>
          <w:tcPr>
            <w:tcW w:w="1340" w:type="dxa"/>
            <w:vAlign w:val="bottom"/>
          </w:tcPr>
          <w:p>
            <w:pPr>
              <w:spacing w:after="0"/>
              <w:rPr>
                <w:sz w:val="15"/>
                <w:szCs w:val="15"/>
                <w:color w:val="auto"/>
              </w:rPr>
            </w:pPr>
          </w:p>
        </w:tc>
      </w:tr>
      <w:tr>
        <w:trPr>
          <w:trHeight w:val="177"/>
        </w:trPr>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20" w:type="dxa"/>
            <w:vAlign w:val="bottom"/>
          </w:tcPr>
          <w:p>
            <w:pPr>
              <w:ind w:left="1380"/>
              <w:spacing w:after="0"/>
              <w:rPr>
                <w:sz w:val="20"/>
                <w:szCs w:val="20"/>
                <w:color w:val="auto"/>
              </w:rPr>
            </w:pPr>
            <w:r>
              <w:rPr>
                <w:rFonts w:ascii="Courier New" w:cs="Courier New" w:eastAsia="Courier New" w:hAnsi="Courier New"/>
                <w:sz w:val="15"/>
                <w:szCs w:val="15"/>
                <w:color w:val="auto"/>
              </w:rPr>
              <w:t>September 30, 1999</w:t>
            </w:r>
          </w:p>
        </w:tc>
        <w:tc>
          <w:tcPr>
            <w:tcW w:w="1340" w:type="dxa"/>
            <w:vAlign w:val="bottom"/>
          </w:tcPr>
          <w:p>
            <w:pPr>
              <w:spacing w:after="0"/>
              <w:rPr>
                <w:sz w:val="15"/>
                <w:szCs w:val="15"/>
                <w:color w:val="auto"/>
              </w:rPr>
            </w:pPr>
          </w:p>
        </w:tc>
      </w:tr>
      <w:tr>
        <w:trPr>
          <w:trHeight w:val="710"/>
        </w:trPr>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Page Numbers</w:t>
            </w:r>
          </w:p>
        </w:tc>
      </w:tr>
      <w:tr>
        <w:trPr>
          <w:trHeight w:val="355"/>
        </w:trPr>
        <w:tc>
          <w:tcPr>
            <w:tcW w:w="74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FINANCIAL INFORMATION</w:t>
            </w:r>
          </w:p>
        </w:tc>
        <w:tc>
          <w:tcPr>
            <w:tcW w:w="1340" w:type="dxa"/>
            <w:vAlign w:val="bottom"/>
          </w:tcPr>
          <w:p>
            <w:pPr>
              <w:spacing w:after="0"/>
              <w:rPr>
                <w:sz w:val="24"/>
                <w:szCs w:val="24"/>
                <w:color w:val="auto"/>
              </w:rPr>
            </w:pPr>
          </w:p>
        </w:tc>
      </w:tr>
      <w:tr>
        <w:trPr>
          <w:trHeight w:val="355"/>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40" w:type="dxa"/>
            <w:vAlign w:val="bottom"/>
          </w:tcPr>
          <w:p>
            <w:pPr>
              <w:spacing w:after="0"/>
              <w:rPr>
                <w:sz w:val="24"/>
                <w:szCs w:val="24"/>
                <w:color w:val="auto"/>
              </w:rPr>
            </w:pPr>
          </w:p>
        </w:tc>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w:t>
            </w:r>
          </w:p>
        </w:tc>
        <w:tc>
          <w:tcPr>
            <w:tcW w:w="1340" w:type="dxa"/>
            <w:vAlign w:val="bottom"/>
          </w:tcPr>
          <w:p>
            <w:pPr>
              <w:spacing w:after="0"/>
              <w:rPr>
                <w:sz w:val="24"/>
                <w:szCs w:val="24"/>
                <w:color w:val="auto"/>
              </w:rPr>
            </w:pPr>
          </w:p>
        </w:tc>
      </w:tr>
      <w:tr>
        <w:trPr>
          <w:trHeight w:val="355"/>
        </w:trPr>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Condensed balance sheets at September 30, 1999 (unaudited)</w:t>
            </w:r>
          </w:p>
        </w:tc>
        <w:tc>
          <w:tcPr>
            <w:tcW w:w="1340" w:type="dxa"/>
            <w:vAlign w:val="bottom"/>
          </w:tcPr>
          <w:p>
            <w:pPr>
              <w:spacing w:after="0"/>
              <w:rPr>
                <w:sz w:val="24"/>
                <w:szCs w:val="24"/>
                <w:color w:val="auto"/>
              </w:rPr>
            </w:pPr>
          </w:p>
        </w:tc>
      </w:tr>
      <w:tr>
        <w:trPr>
          <w:trHeight w:val="177"/>
        </w:trPr>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and December 31, 1998</w:t>
            </w:r>
          </w:p>
        </w:tc>
        <w:tc>
          <w:tcPr>
            <w:tcW w:w="1340" w:type="dxa"/>
            <w:vAlign w:val="bottom"/>
          </w:tcPr>
          <w:p>
            <w:pPr>
              <w:ind w:left="500"/>
              <w:spacing w:after="0"/>
              <w:rPr>
                <w:sz w:val="20"/>
                <w:szCs w:val="20"/>
                <w:color w:val="auto"/>
              </w:rPr>
            </w:pPr>
            <w:r>
              <w:rPr>
                <w:rFonts w:ascii="Courier New" w:cs="Courier New" w:eastAsia="Courier New" w:hAnsi="Courier New"/>
                <w:sz w:val="15"/>
                <w:szCs w:val="15"/>
                <w:color w:val="auto"/>
              </w:rPr>
              <w:t>3</w:t>
            </w:r>
          </w:p>
        </w:tc>
      </w:tr>
      <w:tr>
        <w:trPr>
          <w:trHeight w:val="355"/>
        </w:trPr>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Condensed statements of operations (unaudited) for the three</w:t>
            </w:r>
          </w:p>
        </w:tc>
        <w:tc>
          <w:tcPr>
            <w:tcW w:w="1340" w:type="dxa"/>
            <w:vAlign w:val="bottom"/>
          </w:tcPr>
          <w:p>
            <w:pPr>
              <w:spacing w:after="0"/>
              <w:rPr>
                <w:sz w:val="24"/>
                <w:szCs w:val="24"/>
                <w:color w:val="auto"/>
              </w:rPr>
            </w:pPr>
          </w:p>
        </w:tc>
      </w:tr>
      <w:tr>
        <w:trPr>
          <w:trHeight w:val="177"/>
        </w:trPr>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months and nine months ended September 30, 1999 and 1998</w:t>
            </w:r>
          </w:p>
        </w:tc>
        <w:tc>
          <w:tcPr>
            <w:tcW w:w="1340" w:type="dxa"/>
            <w:vAlign w:val="bottom"/>
          </w:tcPr>
          <w:p>
            <w:pPr>
              <w:ind w:left="500"/>
              <w:spacing w:after="0"/>
              <w:rPr>
                <w:sz w:val="20"/>
                <w:szCs w:val="20"/>
                <w:color w:val="auto"/>
              </w:rPr>
            </w:pPr>
            <w:r>
              <w:rPr>
                <w:rFonts w:ascii="Courier New" w:cs="Courier New" w:eastAsia="Courier New" w:hAnsi="Courier New"/>
                <w:sz w:val="15"/>
                <w:szCs w:val="15"/>
                <w:color w:val="auto"/>
              </w:rPr>
              <w:t>4</w:t>
            </w:r>
          </w:p>
        </w:tc>
      </w:tr>
      <w:tr>
        <w:trPr>
          <w:trHeight w:val="355"/>
        </w:trPr>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Condensed statement of stockholders' equity (unaudited) for the</w:t>
            </w:r>
          </w:p>
        </w:tc>
        <w:tc>
          <w:tcPr>
            <w:tcW w:w="1340" w:type="dxa"/>
            <w:vAlign w:val="bottom"/>
          </w:tcPr>
          <w:p>
            <w:pPr>
              <w:spacing w:after="0"/>
              <w:rPr>
                <w:sz w:val="24"/>
                <w:szCs w:val="24"/>
                <w:color w:val="auto"/>
              </w:rPr>
            </w:pPr>
          </w:p>
        </w:tc>
      </w:tr>
      <w:tr>
        <w:trPr>
          <w:trHeight w:val="177"/>
        </w:trPr>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nine months ended September 30, 1999</w:t>
            </w:r>
          </w:p>
        </w:tc>
        <w:tc>
          <w:tcPr>
            <w:tcW w:w="1340" w:type="dxa"/>
            <w:vAlign w:val="bottom"/>
          </w:tcPr>
          <w:p>
            <w:pPr>
              <w:ind w:left="500"/>
              <w:spacing w:after="0"/>
              <w:rPr>
                <w:sz w:val="20"/>
                <w:szCs w:val="20"/>
                <w:color w:val="auto"/>
              </w:rPr>
            </w:pPr>
            <w:r>
              <w:rPr>
                <w:rFonts w:ascii="Courier New" w:cs="Courier New" w:eastAsia="Courier New" w:hAnsi="Courier New"/>
                <w:sz w:val="15"/>
                <w:szCs w:val="15"/>
                <w:color w:val="auto"/>
              </w:rPr>
              <w:t>5</w:t>
            </w:r>
          </w:p>
        </w:tc>
      </w:tr>
      <w:tr>
        <w:trPr>
          <w:trHeight w:val="355"/>
        </w:trPr>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Condensed statements of cash flows (unaudited) for the</w:t>
            </w:r>
          </w:p>
        </w:tc>
        <w:tc>
          <w:tcPr>
            <w:tcW w:w="1340" w:type="dxa"/>
            <w:vAlign w:val="bottom"/>
          </w:tcPr>
          <w:p>
            <w:pPr>
              <w:spacing w:after="0"/>
              <w:rPr>
                <w:sz w:val="24"/>
                <w:szCs w:val="24"/>
                <w:color w:val="auto"/>
              </w:rPr>
            </w:pPr>
          </w:p>
        </w:tc>
      </w:tr>
      <w:tr>
        <w:trPr>
          <w:trHeight w:val="177"/>
        </w:trPr>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nine months ended September 30, 1999 and 1998</w:t>
            </w:r>
          </w:p>
        </w:tc>
        <w:tc>
          <w:tcPr>
            <w:tcW w:w="1340" w:type="dxa"/>
            <w:vAlign w:val="bottom"/>
          </w:tcPr>
          <w:p>
            <w:pPr>
              <w:ind w:left="500"/>
              <w:spacing w:after="0"/>
              <w:rPr>
                <w:sz w:val="20"/>
                <w:szCs w:val="20"/>
                <w:color w:val="auto"/>
              </w:rPr>
            </w:pPr>
            <w:r>
              <w:rPr>
                <w:rFonts w:ascii="Courier New" w:cs="Courier New" w:eastAsia="Courier New" w:hAnsi="Courier New"/>
                <w:sz w:val="15"/>
                <w:szCs w:val="15"/>
                <w:color w:val="auto"/>
              </w:rPr>
              <w:t>6</w:t>
            </w:r>
          </w:p>
        </w:tc>
      </w:tr>
      <w:tr>
        <w:trPr>
          <w:trHeight w:val="355"/>
        </w:trPr>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Notes to condensed financial statements</w:t>
            </w:r>
          </w:p>
        </w:tc>
        <w:tc>
          <w:tcPr>
            <w:tcW w:w="1340" w:type="dxa"/>
            <w:vAlign w:val="bottom"/>
          </w:tcPr>
          <w:p>
            <w:pPr>
              <w:ind w:left="500"/>
              <w:spacing w:after="0"/>
              <w:rPr>
                <w:sz w:val="20"/>
                <w:szCs w:val="20"/>
                <w:color w:val="auto"/>
              </w:rPr>
            </w:pPr>
            <w:r>
              <w:rPr>
                <w:rFonts w:ascii="Courier New" w:cs="Courier New" w:eastAsia="Courier New" w:hAnsi="Courier New"/>
                <w:sz w:val="15"/>
                <w:szCs w:val="15"/>
                <w:color w:val="auto"/>
              </w:rPr>
              <w:t>7-10</w:t>
            </w:r>
          </w:p>
        </w:tc>
      </w:tr>
      <w:tr>
        <w:trPr>
          <w:trHeight w:val="355"/>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740" w:type="dxa"/>
            <w:vAlign w:val="bottom"/>
          </w:tcPr>
          <w:p>
            <w:pPr>
              <w:spacing w:after="0"/>
              <w:rPr>
                <w:sz w:val="24"/>
                <w:szCs w:val="24"/>
                <w:color w:val="auto"/>
              </w:rPr>
            </w:pPr>
          </w:p>
        </w:tc>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1340" w:type="dxa"/>
            <w:vAlign w:val="bottom"/>
          </w:tcPr>
          <w:p>
            <w:pPr>
              <w:spacing w:after="0"/>
              <w:rPr>
                <w:sz w:val="24"/>
                <w:szCs w:val="24"/>
                <w:color w:val="auto"/>
              </w:rPr>
            </w:pPr>
          </w:p>
        </w:tc>
      </w:tr>
      <w:tr>
        <w:trPr>
          <w:trHeight w:val="177"/>
        </w:trPr>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and Results of Operations</w:t>
            </w:r>
          </w:p>
        </w:tc>
        <w:tc>
          <w:tcPr>
            <w:tcW w:w="1340" w:type="dxa"/>
            <w:vAlign w:val="bottom"/>
          </w:tcPr>
          <w:p>
            <w:pPr>
              <w:ind w:left="500"/>
              <w:spacing w:after="0"/>
              <w:rPr>
                <w:sz w:val="20"/>
                <w:szCs w:val="20"/>
                <w:color w:val="auto"/>
              </w:rPr>
            </w:pPr>
            <w:r>
              <w:rPr>
                <w:rFonts w:ascii="Courier New" w:cs="Courier New" w:eastAsia="Courier New" w:hAnsi="Courier New"/>
                <w:sz w:val="15"/>
                <w:szCs w:val="15"/>
                <w:color w:val="auto"/>
              </w:rPr>
              <w:t>11-24</w:t>
            </w:r>
          </w:p>
        </w:tc>
      </w:tr>
      <w:tr>
        <w:trPr>
          <w:trHeight w:val="355"/>
        </w:trPr>
        <w:tc>
          <w:tcPr>
            <w:tcW w:w="74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6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OTHER INFORMATION</w:t>
            </w:r>
          </w:p>
        </w:tc>
        <w:tc>
          <w:tcPr>
            <w:tcW w:w="1340" w:type="dxa"/>
            <w:vAlign w:val="bottom"/>
          </w:tcPr>
          <w:p>
            <w:pPr>
              <w:spacing w:after="0"/>
              <w:rPr>
                <w:sz w:val="24"/>
                <w:szCs w:val="24"/>
                <w:color w:val="auto"/>
              </w:rPr>
            </w:pPr>
          </w:p>
        </w:tc>
      </w:tr>
      <w:tr>
        <w:trPr>
          <w:trHeight w:val="355"/>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740" w:type="dxa"/>
            <w:vAlign w:val="bottom"/>
          </w:tcPr>
          <w:p>
            <w:pPr>
              <w:spacing w:after="0"/>
              <w:rPr>
                <w:sz w:val="24"/>
                <w:szCs w:val="24"/>
                <w:color w:val="auto"/>
              </w:rPr>
            </w:pPr>
          </w:p>
        </w:tc>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Exhibits and Reports on Form 8-K</w:t>
            </w:r>
          </w:p>
        </w:tc>
        <w:tc>
          <w:tcPr>
            <w:tcW w:w="1340" w:type="dxa"/>
            <w:vAlign w:val="bottom"/>
          </w:tcPr>
          <w:p>
            <w:pPr>
              <w:ind w:left="500"/>
              <w:spacing w:after="0"/>
              <w:rPr>
                <w:sz w:val="20"/>
                <w:szCs w:val="20"/>
                <w:color w:val="auto"/>
              </w:rPr>
            </w:pPr>
            <w:r>
              <w:rPr>
                <w:rFonts w:ascii="Courier New" w:cs="Courier New" w:eastAsia="Courier New" w:hAnsi="Courier New"/>
                <w:sz w:val="15"/>
                <w:szCs w:val="15"/>
                <w:color w:val="auto"/>
              </w:rPr>
              <w:t>25</w:t>
            </w:r>
          </w:p>
        </w:tc>
      </w:tr>
      <w:tr>
        <w:trPr>
          <w:trHeight w:val="355"/>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SIGNATURE PAGE</w:t>
            </w:r>
          </w:p>
        </w:tc>
        <w:tc>
          <w:tcPr>
            <w:tcW w:w="6220" w:type="dxa"/>
            <w:vAlign w:val="bottom"/>
          </w:tcPr>
          <w:p>
            <w:pPr>
              <w:spacing w:after="0"/>
              <w:rPr>
                <w:sz w:val="24"/>
                <w:szCs w:val="24"/>
                <w:color w:val="auto"/>
              </w:rPr>
            </w:pPr>
          </w:p>
        </w:tc>
        <w:tc>
          <w:tcPr>
            <w:tcW w:w="1340" w:type="dxa"/>
            <w:vAlign w:val="bottom"/>
          </w:tcPr>
          <w:p>
            <w:pPr>
              <w:ind w:left="500"/>
              <w:spacing w:after="0"/>
              <w:rPr>
                <w:sz w:val="20"/>
                <w:szCs w:val="20"/>
                <w:color w:val="auto"/>
              </w:rPr>
            </w:pPr>
            <w:r>
              <w:rPr>
                <w:rFonts w:ascii="Courier New" w:cs="Courier New" w:eastAsia="Courier New" w:hAnsi="Courier New"/>
                <w:sz w:val="15"/>
                <w:szCs w:val="15"/>
                <w:color w:val="auto"/>
              </w:rPr>
              <w:t>26</w:t>
            </w:r>
          </w:p>
        </w:tc>
      </w:tr>
      <w:tr>
        <w:trPr>
          <w:trHeight w:val="355"/>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Exhibit 27</w:t>
            </w:r>
          </w:p>
        </w:tc>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Financial data schedule</w:t>
            </w:r>
          </w:p>
        </w:tc>
        <w:tc>
          <w:tcPr>
            <w:tcW w:w="1340" w:type="dxa"/>
            <w:vAlign w:val="bottom"/>
          </w:tcPr>
          <w:p>
            <w:pPr>
              <w:spacing w:after="0"/>
              <w:rPr>
                <w:sz w:val="24"/>
                <w:szCs w:val="24"/>
                <w:color w:val="auto"/>
              </w:rPr>
            </w:pPr>
          </w:p>
        </w:tc>
      </w:tr>
      <w:tr>
        <w:trPr>
          <w:trHeight w:val="532"/>
        </w:trPr>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20" w:type="dxa"/>
            <w:vAlign w:val="bottom"/>
          </w:tcPr>
          <w:p>
            <w:pPr>
              <w:jc w:val="center"/>
              <w:ind w:right="1643"/>
              <w:spacing w:after="0"/>
              <w:rPr>
                <w:sz w:val="20"/>
                <w:szCs w:val="20"/>
                <w:color w:val="auto"/>
              </w:rPr>
            </w:pPr>
            <w:r>
              <w:rPr>
                <w:rFonts w:ascii="Courier New" w:cs="Courier New" w:eastAsia="Courier New" w:hAnsi="Courier New"/>
                <w:sz w:val="15"/>
                <w:szCs w:val="15"/>
                <w:color w:val="auto"/>
              </w:rPr>
              <w:t>2</w:t>
            </w:r>
          </w:p>
        </w:tc>
        <w:tc>
          <w:tcPr>
            <w:tcW w:w="134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PART I.</w:t>
            </w:r>
          </w:p>
        </w:tc>
        <w:tc>
          <w:tcPr>
            <w:tcW w:w="7020" w:type="dxa"/>
            <w:vAlign w:val="bottom"/>
          </w:tcPr>
          <w:p>
            <w:pPr>
              <w:ind w:left="280"/>
              <w:spacing w:after="0"/>
              <w:rPr>
                <w:sz w:val="20"/>
                <w:szCs w:val="20"/>
                <w:color w:val="auto"/>
              </w:rPr>
            </w:pPr>
            <w:r>
              <w:rPr>
                <w:rFonts w:ascii="Courier New" w:cs="Courier New" w:eastAsia="Courier New" w:hAnsi="Courier New"/>
                <w:sz w:val="15"/>
                <w:szCs w:val="15"/>
                <w:color w:val="auto"/>
              </w:rPr>
              <w:t>FINANCIAL INFORMATION</w:t>
            </w:r>
          </w:p>
        </w:tc>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7"/>
        </w:trPr>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ITEM 1.</w:t>
            </w:r>
          </w:p>
        </w:tc>
        <w:tc>
          <w:tcPr>
            <w:tcW w:w="7020" w:type="dxa"/>
            <w:vAlign w:val="bottom"/>
          </w:tcPr>
          <w:p>
            <w:pPr>
              <w:ind w:left="280"/>
              <w:spacing w:after="0"/>
              <w:rPr>
                <w:sz w:val="20"/>
                <w:szCs w:val="20"/>
                <w:color w:val="auto"/>
              </w:rPr>
            </w:pPr>
            <w:r>
              <w:rPr>
                <w:rFonts w:ascii="Courier New" w:cs="Courier New" w:eastAsia="Courier New" w:hAnsi="Courier New"/>
                <w:sz w:val="15"/>
                <w:szCs w:val="15"/>
                <w:color w:val="auto"/>
              </w:rPr>
              <w:t>FINANCIAL STATEMENTS</w:t>
            </w:r>
          </w:p>
        </w:tc>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55"/>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REGENERON PHARMACEUTICALS, INC.</w:t>
            </w: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CONDENSED BALANCE SHEETS AT SEPTEMBER 30, 1999 AND DECEMBER 31, 1998</w:t>
            </w:r>
          </w:p>
        </w:tc>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(In thousands, except share data)</w:t>
            </w:r>
          </w:p>
        </w:tc>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710"/>
        </w:trPr>
        <w:tc>
          <w:tcPr>
            <w:tcW w:w="6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16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September 30,</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64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2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1999</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7"/>
        </w:trPr>
        <w:tc>
          <w:tcPr>
            <w:tcW w:w="640" w:type="dxa"/>
            <w:vAlign w:val="bottom"/>
          </w:tcPr>
          <w:p>
            <w:pPr>
              <w:spacing w:after="0"/>
              <w:rPr>
                <w:sz w:val="15"/>
                <w:szCs w:val="15"/>
                <w:color w:val="auto"/>
              </w:rPr>
            </w:pPr>
          </w:p>
        </w:tc>
        <w:tc>
          <w:tcPr>
            <w:tcW w:w="7020" w:type="dxa"/>
            <w:vAlign w:val="bottom"/>
          </w:tcPr>
          <w:p>
            <w:pPr>
              <w:ind w:left="1840"/>
              <w:spacing w:after="0"/>
              <w:rPr>
                <w:sz w:val="20"/>
                <w:szCs w:val="20"/>
                <w:color w:val="auto"/>
              </w:rPr>
            </w:pPr>
            <w:r>
              <w:rPr>
                <w:rFonts w:ascii="Courier New" w:cs="Courier New" w:eastAsia="Courier New" w:hAnsi="Courier New"/>
                <w:sz w:val="15"/>
                <w:szCs w:val="15"/>
                <w:color w:val="auto"/>
              </w:rPr>
              <w:t>ASSETS</w:t>
            </w:r>
          </w:p>
        </w:tc>
        <w:tc>
          <w:tcPr>
            <w:tcW w:w="2160" w:type="dxa"/>
            <w:vAlign w:val="bottom"/>
            <w:gridSpan w:val="2"/>
          </w:tcPr>
          <w:p>
            <w:pPr>
              <w:jc w:val="right"/>
              <w:ind w:right="523"/>
              <w:spacing w:after="0"/>
              <w:rPr>
                <w:sz w:val="20"/>
                <w:szCs w:val="20"/>
                <w:color w:val="auto"/>
              </w:rPr>
            </w:pPr>
            <w:r>
              <w:rPr>
                <w:rFonts w:ascii="Courier New" w:cs="Courier New" w:eastAsia="Courier New" w:hAnsi="Courier New"/>
                <w:sz w:val="15"/>
                <w:szCs w:val="15"/>
                <w:color w:val="auto"/>
              </w:rPr>
              <w:t>(Unaudited)</w:t>
            </w:r>
          </w:p>
        </w:tc>
        <w:tc>
          <w:tcPr>
            <w:tcW w:w="780" w:type="dxa"/>
            <w:vAlign w:val="bottom"/>
          </w:tcPr>
          <w:p>
            <w:pPr>
              <w:spacing w:after="0"/>
              <w:rPr>
                <w:sz w:val="15"/>
                <w:szCs w:val="15"/>
                <w:color w:val="auto"/>
              </w:rPr>
            </w:pP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1998</w:t>
            </w:r>
          </w:p>
        </w:tc>
      </w:tr>
      <w:tr>
        <w:trPr>
          <w:trHeight w:val="177"/>
        </w:trPr>
        <w:tc>
          <w:tcPr>
            <w:tcW w:w="64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216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7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Cash and cash equivalents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23,525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19,757</w:t>
            </w:r>
          </w:p>
        </w:tc>
      </w:tr>
      <w:tr>
        <w:trPr>
          <w:trHeight w:val="177"/>
        </w:trPr>
        <w:tc>
          <w:tcPr>
            <w:tcW w:w="7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Marketable securities</w:t>
            </w:r>
          </w:p>
        </w:tc>
        <w:tc>
          <w:tcPr>
            <w:tcW w:w="740" w:type="dxa"/>
            <w:vAlign w:val="bottom"/>
          </w:tcPr>
          <w:p>
            <w:pPr>
              <w:spacing w:after="0"/>
              <w:rPr>
                <w:sz w:val="15"/>
                <w:szCs w:val="15"/>
                <w:color w:val="auto"/>
              </w:rPr>
            </w:pP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40,457</w:t>
            </w:r>
          </w:p>
        </w:tc>
        <w:tc>
          <w:tcPr>
            <w:tcW w:w="7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66,022</w:t>
            </w:r>
          </w:p>
        </w:tc>
      </w:tr>
      <w:tr>
        <w:trPr>
          <w:trHeight w:val="177"/>
        </w:trPr>
        <w:tc>
          <w:tcPr>
            <w:tcW w:w="7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Receivable due from The Procter &amp; Gamble Company</w:t>
            </w:r>
          </w:p>
        </w:tc>
        <w:tc>
          <w:tcPr>
            <w:tcW w:w="740" w:type="dxa"/>
            <w:vAlign w:val="bottom"/>
          </w:tcPr>
          <w:p>
            <w:pPr>
              <w:spacing w:after="0"/>
              <w:rPr>
                <w:sz w:val="15"/>
                <w:szCs w:val="15"/>
                <w:color w:val="auto"/>
              </w:rPr>
            </w:pP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7,806</w:t>
            </w:r>
          </w:p>
        </w:tc>
        <w:tc>
          <w:tcPr>
            <w:tcW w:w="7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3,169</w:t>
            </w:r>
          </w:p>
        </w:tc>
      </w:tr>
      <w:tr>
        <w:trPr>
          <w:trHeight w:val="177"/>
        </w:trPr>
        <w:tc>
          <w:tcPr>
            <w:tcW w:w="7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Receivable due from Merck &amp; Co., Inc.</w:t>
            </w:r>
          </w:p>
        </w:tc>
        <w:tc>
          <w:tcPr>
            <w:tcW w:w="740" w:type="dxa"/>
            <w:vAlign w:val="bottom"/>
          </w:tcPr>
          <w:p>
            <w:pPr>
              <w:spacing w:after="0"/>
              <w:rPr>
                <w:sz w:val="15"/>
                <w:szCs w:val="15"/>
                <w:color w:val="auto"/>
              </w:rPr>
            </w:pP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750</w:t>
            </w:r>
          </w:p>
        </w:tc>
        <w:tc>
          <w:tcPr>
            <w:tcW w:w="7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1,665</w:t>
            </w:r>
          </w:p>
        </w:tc>
      </w:tr>
      <w:tr>
        <w:trPr>
          <w:trHeight w:val="177"/>
        </w:trPr>
        <w:tc>
          <w:tcPr>
            <w:tcW w:w="7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Receivable due from Amgen-Regeneron Partners</w:t>
            </w:r>
          </w:p>
        </w:tc>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709</w:t>
            </w:r>
          </w:p>
        </w:tc>
      </w:tr>
      <w:tr>
        <w:trPr>
          <w:trHeight w:val="177"/>
        </w:trPr>
        <w:tc>
          <w:tcPr>
            <w:tcW w:w="7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Receivable due from Sumitomo Pharmaceuticals Company, Ltd.</w:t>
            </w:r>
          </w:p>
        </w:tc>
        <w:tc>
          <w:tcPr>
            <w:tcW w:w="740" w:type="dxa"/>
            <w:vAlign w:val="bottom"/>
          </w:tcPr>
          <w:p>
            <w:pPr>
              <w:spacing w:after="0"/>
              <w:rPr>
                <w:sz w:val="15"/>
                <w:szCs w:val="15"/>
                <w:color w:val="auto"/>
              </w:rPr>
            </w:pP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100</w:t>
            </w:r>
          </w:p>
        </w:tc>
        <w:tc>
          <w:tcPr>
            <w:tcW w:w="7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167</w:t>
            </w:r>
          </w:p>
        </w:tc>
      </w:tr>
      <w:tr>
        <w:trPr>
          <w:trHeight w:val="177"/>
        </w:trPr>
        <w:tc>
          <w:tcPr>
            <w:tcW w:w="7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740" w:type="dxa"/>
            <w:vAlign w:val="bottom"/>
          </w:tcPr>
          <w:p>
            <w:pPr>
              <w:spacing w:after="0"/>
              <w:rPr>
                <w:sz w:val="15"/>
                <w:szCs w:val="15"/>
                <w:color w:val="auto"/>
              </w:rPr>
            </w:pP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1,643</w:t>
            </w:r>
          </w:p>
        </w:tc>
        <w:tc>
          <w:tcPr>
            <w:tcW w:w="7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1,412</w:t>
            </w:r>
          </w:p>
        </w:tc>
      </w:tr>
      <w:tr>
        <w:trPr>
          <w:trHeight w:val="177"/>
        </w:trPr>
        <w:tc>
          <w:tcPr>
            <w:tcW w:w="64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2160" w:type="dxa"/>
            <w:vAlign w:val="bottom"/>
            <w:gridSpan w:val="2"/>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640" w:type="dxa"/>
            <w:vAlign w:val="bottom"/>
          </w:tcPr>
          <w:p>
            <w:pPr>
              <w:spacing w:after="0"/>
              <w:rPr>
                <w:sz w:val="15"/>
                <w:szCs w:val="15"/>
                <w:color w:val="auto"/>
              </w:rPr>
            </w:pPr>
          </w:p>
        </w:tc>
        <w:tc>
          <w:tcPr>
            <w:tcW w:w="702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740" w:type="dxa"/>
            <w:vAlign w:val="bottom"/>
          </w:tcPr>
          <w:p>
            <w:pPr>
              <w:spacing w:after="0"/>
              <w:rPr>
                <w:sz w:val="15"/>
                <w:szCs w:val="15"/>
                <w:color w:val="auto"/>
              </w:rPr>
            </w:pP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74,281</w:t>
            </w:r>
          </w:p>
        </w:tc>
        <w:tc>
          <w:tcPr>
            <w:tcW w:w="7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92,901</w:t>
            </w:r>
          </w:p>
        </w:tc>
      </w:tr>
      <w:tr>
        <w:trPr>
          <w:trHeight w:val="355"/>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Marketable securities</w:t>
            </w:r>
          </w:p>
        </w:tc>
        <w:tc>
          <w:tcPr>
            <w:tcW w:w="740" w:type="dxa"/>
            <w:vAlign w:val="bottom"/>
          </w:tcPr>
          <w:p>
            <w:pPr>
              <w:spacing w:after="0"/>
              <w:rPr>
                <w:sz w:val="24"/>
                <w:szCs w:val="24"/>
                <w:color w:val="auto"/>
              </w:rPr>
            </w:pP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23,451</w:t>
            </w:r>
          </w:p>
        </w:tc>
        <w:tc>
          <w:tcPr>
            <w:tcW w:w="780" w:type="dxa"/>
            <w:vAlign w:val="bottom"/>
          </w:tcPr>
          <w:p>
            <w:pPr>
              <w:spacing w:after="0"/>
              <w:rPr>
                <w:sz w:val="24"/>
                <w:szCs w:val="24"/>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27,751</w:t>
            </w:r>
          </w:p>
        </w:tc>
      </w:tr>
      <w:tr>
        <w:trPr>
          <w:trHeight w:val="177"/>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Investment in Amgen-Regeneron Partners</w:t>
            </w:r>
          </w:p>
        </w:tc>
        <w:tc>
          <w:tcPr>
            <w:tcW w:w="740" w:type="dxa"/>
            <w:vAlign w:val="bottom"/>
          </w:tcPr>
          <w:p>
            <w:pPr>
              <w:spacing w:after="0"/>
              <w:rPr>
                <w:sz w:val="15"/>
                <w:szCs w:val="15"/>
                <w:color w:val="auto"/>
              </w:rPr>
            </w:pP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1,350</w:t>
            </w:r>
          </w:p>
        </w:tc>
        <w:tc>
          <w:tcPr>
            <w:tcW w:w="7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3,091</w:t>
            </w:r>
          </w:p>
        </w:tc>
      </w:tr>
      <w:tr>
        <w:trPr>
          <w:trHeight w:val="177"/>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Property, plant, and equipment, at cost, net of accumulated depreciation</w:t>
            </w:r>
          </w:p>
        </w:tc>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7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and amortization</w:t>
            </w:r>
          </w:p>
        </w:tc>
        <w:tc>
          <w:tcPr>
            <w:tcW w:w="740" w:type="dxa"/>
            <w:vAlign w:val="bottom"/>
          </w:tcPr>
          <w:p>
            <w:pPr>
              <w:spacing w:after="0"/>
              <w:rPr>
                <w:sz w:val="15"/>
                <w:szCs w:val="15"/>
                <w:color w:val="auto"/>
              </w:rPr>
            </w:pP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35,076</w:t>
            </w:r>
          </w:p>
        </w:tc>
        <w:tc>
          <w:tcPr>
            <w:tcW w:w="7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33,019</w:t>
            </w:r>
          </w:p>
        </w:tc>
      </w:tr>
      <w:tr>
        <w:trPr>
          <w:trHeight w:val="177"/>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740" w:type="dxa"/>
            <w:vAlign w:val="bottom"/>
          </w:tcPr>
          <w:p>
            <w:pPr>
              <w:spacing w:after="0"/>
              <w:rPr>
                <w:sz w:val="15"/>
                <w:szCs w:val="15"/>
                <w:color w:val="auto"/>
              </w:rPr>
            </w:pP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222</w:t>
            </w:r>
          </w:p>
        </w:tc>
        <w:tc>
          <w:tcPr>
            <w:tcW w:w="7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153</w:t>
            </w:r>
          </w:p>
        </w:tc>
      </w:tr>
      <w:tr>
        <w:trPr>
          <w:trHeight w:val="177"/>
        </w:trPr>
        <w:tc>
          <w:tcPr>
            <w:tcW w:w="64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2160" w:type="dxa"/>
            <w:vAlign w:val="bottom"/>
            <w:gridSpan w:val="2"/>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640" w:type="dxa"/>
            <w:vAlign w:val="bottom"/>
          </w:tcPr>
          <w:p>
            <w:pPr>
              <w:spacing w:after="0"/>
              <w:rPr>
                <w:sz w:val="15"/>
                <w:szCs w:val="15"/>
                <w:color w:val="auto"/>
              </w:rPr>
            </w:pPr>
          </w:p>
        </w:tc>
        <w:tc>
          <w:tcPr>
            <w:tcW w:w="70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160" w:type="dxa"/>
            <w:vAlign w:val="bottom"/>
            <w:gridSpan w:val="2"/>
          </w:tcPr>
          <w:p>
            <w:pPr>
              <w:jc w:val="right"/>
              <w:ind w:right="623"/>
              <w:spacing w:after="0"/>
              <w:rPr>
                <w:sz w:val="20"/>
                <w:szCs w:val="20"/>
                <w:color w:val="auto"/>
              </w:rPr>
            </w:pPr>
            <w:r>
              <w:rPr>
                <w:rFonts w:ascii="Courier New" w:cs="Courier New" w:eastAsia="Courier New" w:hAnsi="Courier New"/>
                <w:sz w:val="15"/>
                <w:szCs w:val="15"/>
                <w:color w:val="auto"/>
              </w:rPr>
              <w:t>$ 134,380</w:t>
            </w:r>
          </w:p>
        </w:tc>
        <w:tc>
          <w:tcPr>
            <w:tcW w:w="17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$ 156,915</w:t>
            </w:r>
          </w:p>
        </w:tc>
      </w:tr>
      <w:tr>
        <w:trPr>
          <w:trHeight w:val="177"/>
        </w:trPr>
        <w:tc>
          <w:tcPr>
            <w:tcW w:w="64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2160" w:type="dxa"/>
            <w:vAlign w:val="bottom"/>
            <w:gridSpan w:val="2"/>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640" w:type="dxa"/>
            <w:vAlign w:val="bottom"/>
          </w:tcPr>
          <w:p>
            <w:pPr>
              <w:spacing w:after="0"/>
              <w:rPr>
                <w:sz w:val="24"/>
                <w:szCs w:val="24"/>
                <w:color w:val="auto"/>
              </w:rPr>
            </w:pPr>
          </w:p>
        </w:tc>
        <w:tc>
          <w:tcPr>
            <w:tcW w:w="7020" w:type="dxa"/>
            <w:vAlign w:val="bottom"/>
          </w:tcPr>
          <w:p>
            <w:pPr>
              <w:ind w:left="560"/>
              <w:spacing w:after="0"/>
              <w:rPr>
                <w:sz w:val="20"/>
                <w:szCs w:val="20"/>
                <w:color w:val="auto"/>
              </w:rPr>
            </w:pPr>
            <w:r>
              <w:rPr>
                <w:rFonts w:ascii="Courier New" w:cs="Courier New" w:eastAsia="Courier New" w:hAnsi="Courier New"/>
                <w:sz w:val="15"/>
                <w:szCs w:val="15"/>
                <w:color w:val="auto"/>
              </w:rPr>
              <w:t>LIABILITIES and STOCKHOLDERS' EQUITY</w:t>
            </w: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5"/>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7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Accounts payable and accrued expenses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4,531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5,551</w:t>
            </w:r>
          </w:p>
        </w:tc>
      </w:tr>
      <w:tr>
        <w:trPr>
          <w:trHeight w:val="177"/>
        </w:trPr>
        <w:tc>
          <w:tcPr>
            <w:tcW w:w="7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Deferred revenue, current portion</w:t>
            </w:r>
          </w:p>
        </w:tc>
        <w:tc>
          <w:tcPr>
            <w:tcW w:w="740" w:type="dxa"/>
            <w:vAlign w:val="bottom"/>
          </w:tcPr>
          <w:p>
            <w:pPr>
              <w:spacing w:after="0"/>
              <w:rPr>
                <w:sz w:val="15"/>
                <w:szCs w:val="15"/>
                <w:color w:val="auto"/>
              </w:rPr>
            </w:pP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3,140</w:t>
            </w:r>
          </w:p>
        </w:tc>
        <w:tc>
          <w:tcPr>
            <w:tcW w:w="7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2,735</w:t>
            </w:r>
          </w:p>
        </w:tc>
      </w:tr>
      <w:tr>
        <w:trPr>
          <w:trHeight w:val="177"/>
        </w:trPr>
        <w:tc>
          <w:tcPr>
            <w:tcW w:w="7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Capital lease obligations, current portion</w:t>
            </w:r>
          </w:p>
        </w:tc>
        <w:tc>
          <w:tcPr>
            <w:tcW w:w="740" w:type="dxa"/>
            <w:vAlign w:val="bottom"/>
          </w:tcPr>
          <w:p>
            <w:pPr>
              <w:spacing w:after="0"/>
              <w:rPr>
                <w:sz w:val="15"/>
                <w:szCs w:val="15"/>
                <w:color w:val="auto"/>
              </w:rPr>
            </w:pP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1,139</w:t>
            </w:r>
          </w:p>
        </w:tc>
        <w:tc>
          <w:tcPr>
            <w:tcW w:w="7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1,051</w:t>
            </w:r>
          </w:p>
        </w:tc>
      </w:tr>
      <w:tr>
        <w:trPr>
          <w:trHeight w:val="177"/>
        </w:trPr>
        <w:tc>
          <w:tcPr>
            <w:tcW w:w="7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Note payable, current portion</w:t>
            </w:r>
          </w:p>
        </w:tc>
        <w:tc>
          <w:tcPr>
            <w:tcW w:w="740" w:type="dxa"/>
            <w:vAlign w:val="bottom"/>
          </w:tcPr>
          <w:p>
            <w:pPr>
              <w:spacing w:after="0"/>
              <w:rPr>
                <w:sz w:val="15"/>
                <w:szCs w:val="15"/>
                <w:color w:val="auto"/>
              </w:rPr>
            </w:pP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63</w:t>
            </w:r>
          </w:p>
        </w:tc>
        <w:tc>
          <w:tcPr>
            <w:tcW w:w="7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65</w:t>
            </w:r>
          </w:p>
        </w:tc>
      </w:tr>
      <w:tr>
        <w:trPr>
          <w:trHeight w:val="177"/>
        </w:trPr>
        <w:tc>
          <w:tcPr>
            <w:tcW w:w="64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2160" w:type="dxa"/>
            <w:vAlign w:val="bottom"/>
            <w:gridSpan w:val="2"/>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640" w:type="dxa"/>
            <w:vAlign w:val="bottom"/>
          </w:tcPr>
          <w:p>
            <w:pPr>
              <w:spacing w:after="0"/>
              <w:rPr>
                <w:sz w:val="15"/>
                <w:szCs w:val="15"/>
                <w:color w:val="auto"/>
              </w:rPr>
            </w:pPr>
          </w:p>
        </w:tc>
        <w:tc>
          <w:tcPr>
            <w:tcW w:w="702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740" w:type="dxa"/>
            <w:vAlign w:val="bottom"/>
          </w:tcPr>
          <w:p>
            <w:pPr>
              <w:spacing w:after="0"/>
              <w:rPr>
                <w:sz w:val="15"/>
                <w:szCs w:val="15"/>
                <w:color w:val="auto"/>
              </w:rPr>
            </w:pP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8,873</w:t>
            </w:r>
          </w:p>
        </w:tc>
        <w:tc>
          <w:tcPr>
            <w:tcW w:w="7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9,402</w:t>
            </w:r>
          </w:p>
        </w:tc>
      </w:tr>
      <w:tr>
        <w:trPr>
          <w:trHeight w:val="355"/>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Deferred revenue</w:t>
            </w:r>
          </w:p>
        </w:tc>
        <w:tc>
          <w:tcPr>
            <w:tcW w:w="740" w:type="dxa"/>
            <w:vAlign w:val="bottom"/>
          </w:tcPr>
          <w:p>
            <w:pPr>
              <w:spacing w:after="0"/>
              <w:rPr>
                <w:sz w:val="24"/>
                <w:szCs w:val="24"/>
                <w:color w:val="auto"/>
              </w:rPr>
            </w:pP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12,532</w:t>
            </w:r>
          </w:p>
        </w:tc>
        <w:tc>
          <w:tcPr>
            <w:tcW w:w="780" w:type="dxa"/>
            <w:vAlign w:val="bottom"/>
          </w:tcPr>
          <w:p>
            <w:pPr>
              <w:spacing w:after="0"/>
              <w:rPr>
                <w:sz w:val="24"/>
                <w:szCs w:val="24"/>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12,938</w:t>
            </w:r>
          </w:p>
        </w:tc>
      </w:tr>
      <w:tr>
        <w:trPr>
          <w:trHeight w:val="177"/>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Capital lease obligations</w:t>
            </w:r>
          </w:p>
        </w:tc>
        <w:tc>
          <w:tcPr>
            <w:tcW w:w="740" w:type="dxa"/>
            <w:vAlign w:val="bottom"/>
          </w:tcPr>
          <w:p>
            <w:pPr>
              <w:spacing w:after="0"/>
              <w:rPr>
                <w:sz w:val="15"/>
                <w:szCs w:val="15"/>
                <w:color w:val="auto"/>
              </w:rPr>
            </w:pP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587</w:t>
            </w:r>
          </w:p>
        </w:tc>
        <w:tc>
          <w:tcPr>
            <w:tcW w:w="7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1,457</w:t>
            </w:r>
          </w:p>
        </w:tc>
      </w:tr>
      <w:tr>
        <w:trPr>
          <w:trHeight w:val="177"/>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Note payable</w:t>
            </w:r>
          </w:p>
        </w:tc>
        <w:tc>
          <w:tcPr>
            <w:tcW w:w="740" w:type="dxa"/>
            <w:vAlign w:val="bottom"/>
          </w:tcPr>
          <w:p>
            <w:pPr>
              <w:spacing w:after="0"/>
              <w:rPr>
                <w:sz w:val="15"/>
                <w:szCs w:val="15"/>
                <w:color w:val="auto"/>
              </w:rPr>
            </w:pP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1,563</w:t>
            </w:r>
          </w:p>
        </w:tc>
        <w:tc>
          <w:tcPr>
            <w:tcW w:w="7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1,609</w:t>
            </w:r>
          </w:p>
        </w:tc>
      </w:tr>
      <w:tr>
        <w:trPr>
          <w:trHeight w:val="177"/>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740" w:type="dxa"/>
            <w:vAlign w:val="bottom"/>
          </w:tcPr>
          <w:p>
            <w:pPr>
              <w:spacing w:after="0"/>
              <w:rPr>
                <w:sz w:val="15"/>
                <w:szCs w:val="15"/>
                <w:color w:val="auto"/>
              </w:rPr>
            </w:pP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298</w:t>
            </w:r>
          </w:p>
        </w:tc>
        <w:tc>
          <w:tcPr>
            <w:tcW w:w="7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282</w:t>
            </w:r>
          </w:p>
        </w:tc>
      </w:tr>
      <w:tr>
        <w:trPr>
          <w:trHeight w:val="355"/>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5"/>
        </w:trPr>
        <w:tc>
          <w:tcPr>
            <w:tcW w:w="766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7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Preferred stock, $.01 par value; 30,000,000 shares authorized; issued and</w:t>
            </w:r>
          </w:p>
        </w:tc>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640" w:type="dxa"/>
            <w:vAlign w:val="bottom"/>
          </w:tcPr>
          <w:p>
            <w:pPr>
              <w:spacing w:after="0"/>
              <w:rPr>
                <w:sz w:val="15"/>
                <w:szCs w:val="15"/>
                <w:color w:val="auto"/>
              </w:rPr>
            </w:pPr>
          </w:p>
        </w:tc>
        <w:tc>
          <w:tcPr>
            <w:tcW w:w="7020" w:type="dxa"/>
            <w:vAlign w:val="bottom"/>
          </w:tcPr>
          <w:p>
            <w:pPr>
              <w:ind w:left="100"/>
              <w:spacing w:after="0"/>
              <w:rPr>
                <w:sz w:val="20"/>
                <w:szCs w:val="20"/>
                <w:color w:val="auto"/>
              </w:rPr>
            </w:pPr>
            <w:r>
              <w:rPr>
                <w:rFonts w:ascii="Courier New" w:cs="Courier New" w:eastAsia="Courier New" w:hAnsi="Courier New"/>
                <w:sz w:val="15"/>
                <w:szCs w:val="15"/>
                <w:color w:val="auto"/>
              </w:rPr>
              <w:t>outstanding - none</w:t>
            </w:r>
          </w:p>
        </w:tc>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7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Class A Stock, convertible, $.001 par value; 40,000,000 shares authorized;</w:t>
            </w:r>
          </w:p>
        </w:tc>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640" w:type="dxa"/>
            <w:vAlign w:val="bottom"/>
          </w:tcPr>
          <w:p>
            <w:pPr>
              <w:spacing w:after="0"/>
              <w:rPr>
                <w:sz w:val="15"/>
                <w:szCs w:val="15"/>
                <w:color w:val="auto"/>
              </w:rPr>
            </w:pPr>
          </w:p>
        </w:tc>
        <w:tc>
          <w:tcPr>
            <w:tcW w:w="7020" w:type="dxa"/>
            <w:vAlign w:val="bottom"/>
          </w:tcPr>
          <w:p>
            <w:pPr>
              <w:ind w:left="100"/>
              <w:spacing w:after="0"/>
              <w:rPr>
                <w:sz w:val="20"/>
                <w:szCs w:val="20"/>
                <w:color w:val="auto"/>
              </w:rPr>
            </w:pPr>
            <w:r>
              <w:rPr>
                <w:rFonts w:ascii="Courier New" w:cs="Courier New" w:eastAsia="Courier New" w:hAnsi="Courier New"/>
                <w:sz w:val="15"/>
                <w:szCs w:val="15"/>
                <w:color w:val="auto"/>
              </w:rPr>
              <w:t>3,620,804 shares issued and outstanding in 1999</w:t>
            </w:r>
          </w:p>
        </w:tc>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640" w:type="dxa"/>
            <w:vAlign w:val="bottom"/>
          </w:tcPr>
          <w:p>
            <w:pPr>
              <w:spacing w:after="0"/>
              <w:rPr>
                <w:sz w:val="15"/>
                <w:szCs w:val="15"/>
                <w:color w:val="auto"/>
              </w:rPr>
            </w:pPr>
          </w:p>
        </w:tc>
        <w:tc>
          <w:tcPr>
            <w:tcW w:w="7020" w:type="dxa"/>
            <w:vAlign w:val="bottom"/>
          </w:tcPr>
          <w:p>
            <w:pPr>
              <w:ind w:left="100"/>
              <w:spacing w:after="0"/>
              <w:rPr>
                <w:sz w:val="20"/>
                <w:szCs w:val="20"/>
                <w:color w:val="auto"/>
              </w:rPr>
            </w:pPr>
            <w:r>
              <w:rPr>
                <w:rFonts w:ascii="Courier New" w:cs="Courier New" w:eastAsia="Courier New" w:hAnsi="Courier New"/>
                <w:sz w:val="15"/>
                <w:szCs w:val="15"/>
                <w:color w:val="auto"/>
              </w:rPr>
              <w:t>3,630,786 shares issued and outstanding in 1998</w:t>
            </w:r>
          </w:p>
        </w:tc>
        <w:tc>
          <w:tcPr>
            <w:tcW w:w="740" w:type="dxa"/>
            <w:vAlign w:val="bottom"/>
          </w:tcPr>
          <w:p>
            <w:pPr>
              <w:spacing w:after="0"/>
              <w:rPr>
                <w:sz w:val="15"/>
                <w:szCs w:val="15"/>
                <w:color w:val="auto"/>
              </w:rPr>
            </w:pP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4</w:t>
            </w:r>
          </w:p>
        </w:tc>
        <w:tc>
          <w:tcPr>
            <w:tcW w:w="7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w:t>
            </w:r>
          </w:p>
        </w:tc>
      </w:tr>
      <w:tr>
        <w:trPr>
          <w:trHeight w:val="177"/>
        </w:trPr>
        <w:tc>
          <w:tcPr>
            <w:tcW w:w="7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Common Stock, $.001 par value; 60,000,000 shares authorized;</w:t>
            </w:r>
          </w:p>
        </w:tc>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640" w:type="dxa"/>
            <w:vAlign w:val="bottom"/>
          </w:tcPr>
          <w:p>
            <w:pPr>
              <w:spacing w:after="0"/>
              <w:rPr>
                <w:sz w:val="15"/>
                <w:szCs w:val="15"/>
                <w:color w:val="auto"/>
              </w:rPr>
            </w:pPr>
          </w:p>
        </w:tc>
        <w:tc>
          <w:tcPr>
            <w:tcW w:w="7020" w:type="dxa"/>
            <w:vAlign w:val="bottom"/>
          </w:tcPr>
          <w:p>
            <w:pPr>
              <w:ind w:left="100"/>
              <w:spacing w:after="0"/>
              <w:rPr>
                <w:sz w:val="20"/>
                <w:szCs w:val="20"/>
                <w:color w:val="auto"/>
              </w:rPr>
            </w:pPr>
            <w:r>
              <w:rPr>
                <w:rFonts w:ascii="Courier New" w:cs="Courier New" w:eastAsia="Courier New" w:hAnsi="Courier New"/>
                <w:sz w:val="15"/>
                <w:szCs w:val="15"/>
                <w:color w:val="auto"/>
              </w:rPr>
              <w:t>27,697,695 shares issued and outstanding in 1999</w:t>
            </w:r>
          </w:p>
        </w:tc>
        <w:tc>
          <w:tcPr>
            <w:tcW w:w="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640" w:type="dxa"/>
            <w:vAlign w:val="bottom"/>
          </w:tcPr>
          <w:p>
            <w:pPr>
              <w:spacing w:after="0"/>
              <w:rPr>
                <w:sz w:val="15"/>
                <w:szCs w:val="15"/>
                <w:color w:val="auto"/>
              </w:rPr>
            </w:pPr>
          </w:p>
        </w:tc>
        <w:tc>
          <w:tcPr>
            <w:tcW w:w="7020" w:type="dxa"/>
            <w:vAlign w:val="bottom"/>
          </w:tcPr>
          <w:p>
            <w:pPr>
              <w:ind w:left="100"/>
              <w:spacing w:after="0"/>
              <w:rPr>
                <w:sz w:val="20"/>
                <w:szCs w:val="20"/>
                <w:color w:val="auto"/>
              </w:rPr>
            </w:pPr>
            <w:r>
              <w:rPr>
                <w:rFonts w:ascii="Courier New" w:cs="Courier New" w:eastAsia="Courier New" w:hAnsi="Courier New"/>
                <w:sz w:val="15"/>
                <w:szCs w:val="15"/>
                <w:color w:val="auto"/>
              </w:rPr>
              <w:t>27,386,858 shares issued and outstanding in 1998</w:t>
            </w:r>
          </w:p>
        </w:tc>
        <w:tc>
          <w:tcPr>
            <w:tcW w:w="740" w:type="dxa"/>
            <w:vAlign w:val="bottom"/>
          </w:tcPr>
          <w:p>
            <w:pPr>
              <w:spacing w:after="0"/>
              <w:rPr>
                <w:sz w:val="15"/>
                <w:szCs w:val="15"/>
                <w:color w:val="auto"/>
              </w:rPr>
            </w:pP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28</w:t>
            </w:r>
          </w:p>
        </w:tc>
        <w:tc>
          <w:tcPr>
            <w:tcW w:w="7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w:t>
            </w:r>
          </w:p>
        </w:tc>
      </w:tr>
      <w:tr>
        <w:trPr>
          <w:trHeight w:val="177"/>
        </w:trPr>
        <w:tc>
          <w:tcPr>
            <w:tcW w:w="7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Additional paid-in capital</w:t>
            </w:r>
          </w:p>
        </w:tc>
        <w:tc>
          <w:tcPr>
            <w:tcW w:w="740" w:type="dxa"/>
            <w:vAlign w:val="bottom"/>
          </w:tcPr>
          <w:p>
            <w:pPr>
              <w:spacing w:after="0"/>
              <w:rPr>
                <w:sz w:val="15"/>
                <w:szCs w:val="15"/>
                <w:color w:val="auto"/>
              </w:rPr>
            </w:pP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309,840</w:t>
            </w:r>
          </w:p>
        </w:tc>
        <w:tc>
          <w:tcPr>
            <w:tcW w:w="7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308,561</w:t>
            </w:r>
          </w:p>
        </w:tc>
      </w:tr>
      <w:tr>
        <w:trPr>
          <w:trHeight w:val="177"/>
        </w:trPr>
        <w:tc>
          <w:tcPr>
            <w:tcW w:w="7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Unearned compensation</w:t>
            </w:r>
          </w:p>
        </w:tc>
        <w:tc>
          <w:tcPr>
            <w:tcW w:w="740" w:type="dxa"/>
            <w:vAlign w:val="bottom"/>
          </w:tcPr>
          <w:p>
            <w:pPr>
              <w:spacing w:after="0"/>
              <w:rPr>
                <w:sz w:val="15"/>
                <w:szCs w:val="15"/>
                <w:color w:val="auto"/>
              </w:rPr>
            </w:pPr>
          </w:p>
        </w:tc>
        <w:tc>
          <w:tcPr>
            <w:tcW w:w="14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(90)</w:t>
            </w:r>
          </w:p>
        </w:tc>
        <w:tc>
          <w:tcPr>
            <w:tcW w:w="78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(360)</w:t>
            </w:r>
          </w:p>
        </w:tc>
      </w:tr>
      <w:tr>
        <w:trPr>
          <w:trHeight w:val="177"/>
        </w:trPr>
        <w:tc>
          <w:tcPr>
            <w:tcW w:w="7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Accumulated deficit</w:t>
            </w:r>
          </w:p>
        </w:tc>
        <w:tc>
          <w:tcPr>
            <w:tcW w:w="740" w:type="dxa"/>
            <w:vAlign w:val="bottom"/>
          </w:tcPr>
          <w:p>
            <w:pPr>
              <w:spacing w:after="0"/>
              <w:rPr>
                <w:sz w:val="15"/>
                <w:szCs w:val="15"/>
                <w:color w:val="auto"/>
              </w:rPr>
            </w:pPr>
          </w:p>
        </w:tc>
        <w:tc>
          <w:tcPr>
            <w:tcW w:w="142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8"/>
              </w:rPr>
              <w:t>(198,921)</w:t>
            </w:r>
          </w:p>
        </w:tc>
        <w:tc>
          <w:tcPr>
            <w:tcW w:w="78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(177,233)</w:t>
            </w:r>
          </w:p>
        </w:tc>
      </w:tr>
      <w:tr>
        <w:trPr>
          <w:trHeight w:val="177"/>
        </w:trPr>
        <w:tc>
          <w:tcPr>
            <w:tcW w:w="76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Accumulated other comprehensive (loss) income</w:t>
            </w:r>
          </w:p>
        </w:tc>
        <w:tc>
          <w:tcPr>
            <w:tcW w:w="740" w:type="dxa"/>
            <w:vAlign w:val="bottom"/>
          </w:tcPr>
          <w:p>
            <w:pPr>
              <w:spacing w:after="0"/>
              <w:rPr>
                <w:sz w:val="15"/>
                <w:szCs w:val="15"/>
                <w:color w:val="auto"/>
              </w:rPr>
            </w:pPr>
          </w:p>
        </w:tc>
        <w:tc>
          <w:tcPr>
            <w:tcW w:w="14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(334)</w:t>
            </w:r>
          </w:p>
        </w:tc>
        <w:tc>
          <w:tcPr>
            <w:tcW w:w="7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228</w:t>
            </w:r>
          </w:p>
        </w:tc>
      </w:tr>
      <w:tr>
        <w:trPr>
          <w:trHeight w:val="177"/>
        </w:trPr>
        <w:tc>
          <w:tcPr>
            <w:tcW w:w="64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2160" w:type="dxa"/>
            <w:vAlign w:val="bottom"/>
            <w:gridSpan w:val="2"/>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640" w:type="dxa"/>
            <w:vAlign w:val="bottom"/>
          </w:tcPr>
          <w:p>
            <w:pPr>
              <w:spacing w:after="0"/>
              <w:rPr>
                <w:sz w:val="15"/>
                <w:szCs w:val="15"/>
                <w:color w:val="auto"/>
              </w:rPr>
            </w:pPr>
          </w:p>
        </w:tc>
        <w:tc>
          <w:tcPr>
            <w:tcW w:w="702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740" w:type="dxa"/>
            <w:vAlign w:val="bottom"/>
          </w:tcPr>
          <w:p>
            <w:pPr>
              <w:spacing w:after="0"/>
              <w:rPr>
                <w:sz w:val="15"/>
                <w:szCs w:val="15"/>
                <w:color w:val="auto"/>
              </w:rPr>
            </w:pPr>
          </w:p>
        </w:tc>
        <w:tc>
          <w:tcPr>
            <w:tcW w:w="14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110,527</w:t>
            </w:r>
          </w:p>
        </w:tc>
        <w:tc>
          <w:tcPr>
            <w:tcW w:w="7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131,227</w:t>
            </w:r>
          </w:p>
        </w:tc>
      </w:tr>
      <w:tr>
        <w:trPr>
          <w:trHeight w:val="177"/>
        </w:trPr>
        <w:tc>
          <w:tcPr>
            <w:tcW w:w="64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2160" w:type="dxa"/>
            <w:vAlign w:val="bottom"/>
            <w:gridSpan w:val="2"/>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640" w:type="dxa"/>
            <w:vAlign w:val="bottom"/>
          </w:tcPr>
          <w:p>
            <w:pPr>
              <w:spacing w:after="0"/>
              <w:rPr>
                <w:sz w:val="15"/>
                <w:szCs w:val="15"/>
                <w:color w:val="auto"/>
              </w:rPr>
            </w:pPr>
          </w:p>
        </w:tc>
        <w:tc>
          <w:tcPr>
            <w:tcW w:w="702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160" w:type="dxa"/>
            <w:vAlign w:val="bottom"/>
            <w:gridSpan w:val="2"/>
          </w:tcPr>
          <w:p>
            <w:pPr>
              <w:jc w:val="right"/>
              <w:ind w:right="623"/>
              <w:spacing w:after="0"/>
              <w:rPr>
                <w:sz w:val="20"/>
                <w:szCs w:val="20"/>
                <w:color w:val="auto"/>
              </w:rPr>
            </w:pPr>
            <w:r>
              <w:rPr>
                <w:rFonts w:ascii="Courier New" w:cs="Courier New" w:eastAsia="Courier New" w:hAnsi="Courier New"/>
                <w:sz w:val="15"/>
                <w:szCs w:val="15"/>
                <w:color w:val="auto"/>
              </w:rPr>
              <w:t>$ 134,380</w:t>
            </w:r>
          </w:p>
        </w:tc>
        <w:tc>
          <w:tcPr>
            <w:tcW w:w="17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$ 156,915</w:t>
            </w:r>
          </w:p>
        </w:tc>
      </w:tr>
      <w:tr>
        <w:trPr>
          <w:trHeight w:val="177"/>
        </w:trPr>
        <w:tc>
          <w:tcPr>
            <w:tcW w:w="64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2160" w:type="dxa"/>
            <w:vAlign w:val="bottom"/>
            <w:gridSpan w:val="2"/>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650" w:right="1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OPERATIONS (Unaudited)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3600" w:type="dxa"/>
            <w:vAlign w:val="bottom"/>
            <w:gridSpan w:val="4"/>
          </w:tcPr>
          <w:p>
            <w:pPr>
              <w:jc w:val="right"/>
              <w:ind w:right="203"/>
              <w:spacing w:after="0"/>
              <w:rPr>
                <w:sz w:val="20"/>
                <w:szCs w:val="20"/>
                <w:color w:val="auto"/>
              </w:rPr>
            </w:pPr>
            <w:r>
              <w:rPr>
                <w:rFonts w:ascii="Courier New" w:cs="Courier New" w:eastAsia="Courier New" w:hAnsi="Courier New"/>
                <w:sz w:val="15"/>
                <w:szCs w:val="15"/>
                <w:color w:val="auto"/>
              </w:rPr>
              <w:t>Three months ended September 30,</w:t>
            </w:r>
          </w:p>
        </w:tc>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7"/>
        </w:trPr>
        <w:tc>
          <w:tcPr>
            <w:tcW w:w="4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jc w:val="right"/>
              <w:ind w:right="663"/>
              <w:spacing w:after="0"/>
              <w:rPr>
                <w:sz w:val="20"/>
                <w:szCs w:val="20"/>
                <w:color w:val="auto"/>
              </w:rPr>
            </w:pPr>
            <w:r>
              <w:rPr>
                <w:rFonts w:ascii="Courier New" w:cs="Courier New" w:eastAsia="Courier New" w:hAnsi="Courier New"/>
                <w:sz w:val="15"/>
                <w:szCs w:val="15"/>
                <w:color w:val="auto"/>
                <w:w w:val="94"/>
              </w:rPr>
              <w:t>1999</w:t>
            </w:r>
          </w:p>
        </w:tc>
        <w:tc>
          <w:tcPr>
            <w:tcW w:w="640" w:type="dxa"/>
            <w:vAlign w:val="bottom"/>
          </w:tcPr>
          <w:p>
            <w:pPr>
              <w:spacing w:after="0"/>
              <w:rPr>
                <w:sz w:val="15"/>
                <w:szCs w:val="15"/>
                <w:color w:val="auto"/>
              </w:rPr>
            </w:pPr>
          </w:p>
        </w:tc>
        <w:tc>
          <w:tcPr>
            <w:tcW w:w="1120" w:type="dxa"/>
            <w:vAlign w:val="bottom"/>
          </w:tcPr>
          <w:p>
            <w:pPr>
              <w:jc w:val="right"/>
              <w:ind w:right="663"/>
              <w:spacing w:after="0"/>
              <w:rPr>
                <w:sz w:val="20"/>
                <w:szCs w:val="20"/>
                <w:color w:val="auto"/>
              </w:rPr>
            </w:pPr>
            <w:r>
              <w:rPr>
                <w:rFonts w:ascii="Courier New" w:cs="Courier New" w:eastAsia="Courier New" w:hAnsi="Courier New"/>
                <w:sz w:val="15"/>
                <w:szCs w:val="15"/>
                <w:color w:val="auto"/>
                <w:w w:val="99"/>
              </w:rPr>
              <w:t>1998</w:t>
            </w:r>
          </w:p>
        </w:tc>
        <w:tc>
          <w:tcPr>
            <w:tcW w:w="17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1999</w:t>
            </w: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1998</w:t>
            </w:r>
          </w:p>
        </w:tc>
      </w:tr>
      <w:tr>
        <w:trPr>
          <w:trHeight w:val="177"/>
        </w:trPr>
        <w:tc>
          <w:tcPr>
            <w:tcW w:w="4060" w:type="dxa"/>
            <w:vAlign w:val="bottom"/>
          </w:tcPr>
          <w:p>
            <w:pPr>
              <w:spacing w:after="0"/>
              <w:rPr>
                <w:sz w:val="15"/>
                <w:szCs w:val="15"/>
                <w:color w:val="auto"/>
              </w:rPr>
            </w:pPr>
          </w:p>
        </w:tc>
        <w:tc>
          <w:tcPr>
            <w:tcW w:w="184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40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7"/>
        </w:trPr>
        <w:tc>
          <w:tcPr>
            <w:tcW w:w="4060" w:type="dxa"/>
            <w:vAlign w:val="bottom"/>
          </w:tcPr>
          <w:p>
            <w:pPr>
              <w:ind w:left="640"/>
              <w:spacing w:after="0"/>
              <w:rPr>
                <w:sz w:val="20"/>
                <w:szCs w:val="20"/>
                <w:color w:val="auto"/>
              </w:rPr>
            </w:pPr>
            <w:r>
              <w:rPr>
                <w:rFonts w:ascii="Courier New" w:cs="Courier New" w:eastAsia="Courier New" w:hAnsi="Courier New"/>
                <w:sz w:val="15"/>
                <w:szCs w:val="15"/>
                <w:color w:val="auto"/>
              </w:rPr>
              <w:t>Contract research and development</w:t>
            </w:r>
          </w:p>
        </w:tc>
        <w:tc>
          <w:tcPr>
            <w:tcW w:w="7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8,570</w:t>
            </w:r>
          </w:p>
        </w:tc>
        <w:tc>
          <w:tcPr>
            <w:tcW w:w="64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3,983</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$ 15,311</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$ 14,759</w:t>
            </w:r>
          </w:p>
        </w:tc>
      </w:tr>
      <w:tr>
        <w:trPr>
          <w:trHeight w:val="177"/>
        </w:trPr>
        <w:tc>
          <w:tcPr>
            <w:tcW w:w="4060" w:type="dxa"/>
            <w:vAlign w:val="bottom"/>
          </w:tcPr>
          <w:p>
            <w:pPr>
              <w:ind w:left="640"/>
              <w:spacing w:after="0"/>
              <w:rPr>
                <w:sz w:val="20"/>
                <w:szCs w:val="20"/>
                <w:color w:val="auto"/>
              </w:rPr>
            </w:pPr>
            <w:r>
              <w:rPr>
                <w:rFonts w:ascii="Courier New" w:cs="Courier New" w:eastAsia="Courier New" w:hAnsi="Courier New"/>
                <w:sz w:val="15"/>
                <w:szCs w:val="15"/>
                <w:color w:val="auto"/>
              </w:rPr>
              <w:t>Research progress payments</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4,500</w:t>
            </w:r>
          </w:p>
        </w:tc>
        <w:tc>
          <w:tcPr>
            <w:tcW w:w="1740" w:type="dxa"/>
            <w:vAlign w:val="bottom"/>
          </w:tcPr>
          <w:p>
            <w:pPr>
              <w:spacing w:after="0"/>
              <w:rPr>
                <w:sz w:val="15"/>
                <w:szCs w:val="15"/>
                <w:color w:val="auto"/>
              </w:rPr>
            </w:pP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9,500</w:t>
            </w:r>
          </w:p>
        </w:tc>
      </w:tr>
      <w:tr>
        <w:trPr>
          <w:trHeight w:val="177"/>
        </w:trPr>
        <w:tc>
          <w:tcPr>
            <w:tcW w:w="4060" w:type="dxa"/>
            <w:vAlign w:val="bottom"/>
          </w:tcPr>
          <w:p>
            <w:pPr>
              <w:ind w:left="640"/>
              <w:spacing w:after="0"/>
              <w:rPr>
                <w:sz w:val="20"/>
                <w:szCs w:val="20"/>
                <w:color w:val="auto"/>
              </w:rPr>
            </w:pPr>
            <w:r>
              <w:rPr>
                <w:rFonts w:ascii="Courier New" w:cs="Courier New" w:eastAsia="Courier New" w:hAnsi="Courier New"/>
                <w:sz w:val="15"/>
                <w:szCs w:val="15"/>
                <w:color w:val="auto"/>
              </w:rPr>
              <w:t>Contract manufacturing</w:t>
            </w:r>
          </w:p>
        </w:tc>
        <w:tc>
          <w:tcPr>
            <w:tcW w:w="74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2,730</w:t>
            </w:r>
          </w:p>
        </w:tc>
        <w:tc>
          <w:tcPr>
            <w:tcW w:w="640" w:type="dxa"/>
            <w:vAlign w:val="bottom"/>
          </w:tcPr>
          <w:p>
            <w:pPr>
              <w:spacing w:after="0"/>
              <w:rPr>
                <w:sz w:val="15"/>
                <w:szCs w:val="15"/>
                <w:color w:val="auto"/>
              </w:rPr>
            </w:pP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2,326</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7,299</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6,493</w:t>
            </w:r>
          </w:p>
        </w:tc>
      </w:tr>
      <w:tr>
        <w:trPr>
          <w:trHeight w:val="177"/>
        </w:trPr>
        <w:tc>
          <w:tcPr>
            <w:tcW w:w="4060" w:type="dxa"/>
            <w:vAlign w:val="bottom"/>
          </w:tcPr>
          <w:p>
            <w:pPr>
              <w:ind w:left="640"/>
              <w:spacing w:after="0"/>
              <w:rPr>
                <w:sz w:val="20"/>
                <w:szCs w:val="20"/>
                <w:color w:val="auto"/>
              </w:rPr>
            </w:pPr>
            <w:r>
              <w:rPr>
                <w:rFonts w:ascii="Courier New" w:cs="Courier New" w:eastAsia="Courier New" w:hAnsi="Courier New"/>
                <w:sz w:val="15"/>
                <w:szCs w:val="15"/>
                <w:color w:val="auto"/>
              </w:rPr>
              <w:t>Investment income</w:t>
            </w:r>
          </w:p>
        </w:tc>
        <w:tc>
          <w:tcPr>
            <w:tcW w:w="74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1,236</w:t>
            </w:r>
          </w:p>
        </w:tc>
        <w:tc>
          <w:tcPr>
            <w:tcW w:w="640" w:type="dxa"/>
            <w:vAlign w:val="bottom"/>
          </w:tcPr>
          <w:p>
            <w:pPr>
              <w:spacing w:after="0"/>
              <w:rPr>
                <w:sz w:val="15"/>
                <w:szCs w:val="15"/>
                <w:color w:val="auto"/>
              </w:rPr>
            </w:pP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1,757</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4,014</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5,259</w:t>
            </w:r>
          </w:p>
        </w:tc>
      </w:tr>
      <w:tr>
        <w:trPr>
          <w:trHeight w:val="177"/>
        </w:trPr>
        <w:tc>
          <w:tcPr>
            <w:tcW w:w="4060" w:type="dxa"/>
            <w:vAlign w:val="bottom"/>
          </w:tcPr>
          <w:p>
            <w:pPr>
              <w:spacing w:after="0"/>
              <w:rPr>
                <w:sz w:val="15"/>
                <w:szCs w:val="15"/>
                <w:color w:val="auto"/>
              </w:rPr>
            </w:pPr>
          </w:p>
        </w:tc>
        <w:tc>
          <w:tcPr>
            <w:tcW w:w="184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6"/>
              </w:rPr>
              <w:t>12,536</w:t>
            </w:r>
          </w:p>
        </w:tc>
        <w:tc>
          <w:tcPr>
            <w:tcW w:w="640" w:type="dxa"/>
            <w:vAlign w:val="bottom"/>
          </w:tcPr>
          <w:p>
            <w:pPr>
              <w:spacing w:after="0"/>
              <w:rPr>
                <w:sz w:val="15"/>
                <w:szCs w:val="15"/>
                <w:color w:val="auto"/>
              </w:rPr>
            </w:pP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9"/>
              </w:rPr>
              <w:t>12,566</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26,624</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36,011</w:t>
            </w:r>
          </w:p>
        </w:tc>
      </w:tr>
      <w:tr>
        <w:trPr>
          <w:trHeight w:val="177"/>
        </w:trPr>
        <w:tc>
          <w:tcPr>
            <w:tcW w:w="4060" w:type="dxa"/>
            <w:vAlign w:val="bottom"/>
          </w:tcPr>
          <w:p>
            <w:pPr>
              <w:spacing w:after="0"/>
              <w:rPr>
                <w:sz w:val="15"/>
                <w:szCs w:val="15"/>
                <w:color w:val="auto"/>
              </w:rPr>
            </w:pPr>
          </w:p>
        </w:tc>
        <w:tc>
          <w:tcPr>
            <w:tcW w:w="184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40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7"/>
        </w:trPr>
        <w:tc>
          <w:tcPr>
            <w:tcW w:w="4060" w:type="dxa"/>
            <w:vAlign w:val="bottom"/>
          </w:tcPr>
          <w:p>
            <w:pPr>
              <w:ind w:left="640"/>
              <w:spacing w:after="0"/>
              <w:rPr>
                <w:sz w:val="20"/>
                <w:szCs w:val="20"/>
                <w:color w:val="auto"/>
              </w:rPr>
            </w:pPr>
            <w:r>
              <w:rPr>
                <w:rFonts w:ascii="Courier New" w:cs="Courier New" w:eastAsia="Courier New" w:hAnsi="Courier New"/>
                <w:sz w:val="15"/>
                <w:szCs w:val="15"/>
                <w:color w:val="auto"/>
              </w:rPr>
              <w:t>Research and development</w:t>
            </w:r>
          </w:p>
        </w:tc>
        <w:tc>
          <w:tcPr>
            <w:tcW w:w="74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6"/>
              </w:rPr>
              <w:t>12,924</w:t>
            </w:r>
          </w:p>
        </w:tc>
        <w:tc>
          <w:tcPr>
            <w:tcW w:w="640" w:type="dxa"/>
            <w:vAlign w:val="bottom"/>
          </w:tcPr>
          <w:p>
            <w:pPr>
              <w:spacing w:after="0"/>
              <w:rPr>
                <w:sz w:val="15"/>
                <w:szCs w:val="15"/>
                <w:color w:val="auto"/>
              </w:rPr>
            </w:pP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9,891</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34,963</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27,095</w:t>
            </w:r>
          </w:p>
        </w:tc>
      </w:tr>
      <w:tr>
        <w:trPr>
          <w:trHeight w:val="177"/>
        </w:trPr>
        <w:tc>
          <w:tcPr>
            <w:tcW w:w="4060" w:type="dxa"/>
            <w:vAlign w:val="bottom"/>
          </w:tcPr>
          <w:p>
            <w:pPr>
              <w:ind w:left="640"/>
              <w:spacing w:after="0"/>
              <w:rPr>
                <w:sz w:val="20"/>
                <w:szCs w:val="20"/>
                <w:color w:val="auto"/>
              </w:rPr>
            </w:pPr>
            <w:r>
              <w:rPr>
                <w:rFonts w:ascii="Courier New" w:cs="Courier New" w:eastAsia="Courier New" w:hAnsi="Courier New"/>
                <w:sz w:val="15"/>
                <w:szCs w:val="15"/>
                <w:color w:val="auto"/>
              </w:rPr>
              <w:t>Loss in Amgen-Regeneron Partners</w:t>
            </w:r>
          </w:p>
        </w:tc>
        <w:tc>
          <w:tcPr>
            <w:tcW w:w="74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952</w:t>
            </w:r>
          </w:p>
        </w:tc>
        <w:tc>
          <w:tcPr>
            <w:tcW w:w="640" w:type="dxa"/>
            <w:vAlign w:val="bottom"/>
          </w:tcPr>
          <w:p>
            <w:pPr>
              <w:spacing w:after="0"/>
              <w:rPr>
                <w:sz w:val="15"/>
                <w:szCs w:val="15"/>
                <w:color w:val="auto"/>
              </w:rPr>
            </w:pP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678</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2,509</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1,551</w:t>
            </w:r>
          </w:p>
        </w:tc>
      </w:tr>
      <w:tr>
        <w:trPr>
          <w:trHeight w:val="177"/>
        </w:trPr>
        <w:tc>
          <w:tcPr>
            <w:tcW w:w="4060" w:type="dxa"/>
            <w:vAlign w:val="bottom"/>
          </w:tcPr>
          <w:p>
            <w:pPr>
              <w:ind w:left="640"/>
              <w:spacing w:after="0"/>
              <w:rPr>
                <w:sz w:val="20"/>
                <w:szCs w:val="20"/>
                <w:color w:val="auto"/>
              </w:rPr>
            </w:pPr>
            <w:r>
              <w:rPr>
                <w:rFonts w:ascii="Courier New" w:cs="Courier New" w:eastAsia="Courier New" w:hAnsi="Courier New"/>
                <w:sz w:val="15"/>
                <w:szCs w:val="15"/>
                <w:color w:val="auto"/>
              </w:rPr>
              <w:t>General and administrative</w:t>
            </w:r>
          </w:p>
        </w:tc>
        <w:tc>
          <w:tcPr>
            <w:tcW w:w="74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1,578</w:t>
            </w:r>
          </w:p>
        </w:tc>
        <w:tc>
          <w:tcPr>
            <w:tcW w:w="640" w:type="dxa"/>
            <w:vAlign w:val="bottom"/>
          </w:tcPr>
          <w:p>
            <w:pPr>
              <w:spacing w:after="0"/>
              <w:rPr>
                <w:sz w:val="15"/>
                <w:szCs w:val="15"/>
                <w:color w:val="auto"/>
              </w:rPr>
            </w:pP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1,323</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4,691</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4,400</w:t>
            </w:r>
          </w:p>
        </w:tc>
      </w:tr>
      <w:tr>
        <w:trPr>
          <w:trHeight w:val="177"/>
        </w:trPr>
        <w:tc>
          <w:tcPr>
            <w:tcW w:w="4060" w:type="dxa"/>
            <w:vAlign w:val="bottom"/>
          </w:tcPr>
          <w:p>
            <w:pPr>
              <w:ind w:left="640"/>
              <w:spacing w:after="0"/>
              <w:rPr>
                <w:sz w:val="20"/>
                <w:szCs w:val="20"/>
                <w:color w:val="auto"/>
              </w:rPr>
            </w:pPr>
            <w:r>
              <w:rPr>
                <w:rFonts w:ascii="Courier New" w:cs="Courier New" w:eastAsia="Courier New" w:hAnsi="Courier New"/>
                <w:sz w:val="15"/>
                <w:szCs w:val="15"/>
                <w:color w:val="auto"/>
              </w:rPr>
              <w:t>Depreciation and amortization</w:t>
            </w:r>
          </w:p>
        </w:tc>
        <w:tc>
          <w:tcPr>
            <w:tcW w:w="74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898</w:t>
            </w:r>
          </w:p>
        </w:tc>
        <w:tc>
          <w:tcPr>
            <w:tcW w:w="640" w:type="dxa"/>
            <w:vAlign w:val="bottom"/>
          </w:tcPr>
          <w:p>
            <w:pPr>
              <w:spacing w:after="0"/>
              <w:rPr>
                <w:sz w:val="15"/>
                <w:szCs w:val="15"/>
                <w:color w:val="auto"/>
              </w:rPr>
            </w:pP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681</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2,452</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2,330</w:t>
            </w:r>
          </w:p>
        </w:tc>
      </w:tr>
      <w:tr>
        <w:trPr>
          <w:trHeight w:val="177"/>
        </w:trPr>
        <w:tc>
          <w:tcPr>
            <w:tcW w:w="4060" w:type="dxa"/>
            <w:vAlign w:val="bottom"/>
          </w:tcPr>
          <w:p>
            <w:pPr>
              <w:ind w:left="640"/>
              <w:spacing w:after="0"/>
              <w:rPr>
                <w:sz w:val="20"/>
                <w:szCs w:val="20"/>
                <w:color w:val="auto"/>
              </w:rPr>
            </w:pPr>
            <w:r>
              <w:rPr>
                <w:rFonts w:ascii="Courier New" w:cs="Courier New" w:eastAsia="Courier New" w:hAnsi="Courier New"/>
                <w:sz w:val="15"/>
                <w:szCs w:val="15"/>
                <w:color w:val="auto"/>
              </w:rPr>
              <w:t>Contract manufacturing</w:t>
            </w:r>
          </w:p>
        </w:tc>
        <w:tc>
          <w:tcPr>
            <w:tcW w:w="74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1,034</w:t>
            </w:r>
          </w:p>
        </w:tc>
        <w:tc>
          <w:tcPr>
            <w:tcW w:w="640" w:type="dxa"/>
            <w:vAlign w:val="bottom"/>
          </w:tcPr>
          <w:p>
            <w:pPr>
              <w:spacing w:after="0"/>
              <w:rPr>
                <w:sz w:val="15"/>
                <w:szCs w:val="15"/>
                <w:color w:val="auto"/>
              </w:rPr>
            </w:pP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1,286</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3,452</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3,389</w:t>
            </w:r>
          </w:p>
        </w:tc>
      </w:tr>
      <w:tr>
        <w:trPr>
          <w:trHeight w:val="177"/>
        </w:trPr>
        <w:tc>
          <w:tcPr>
            <w:tcW w:w="4060" w:type="dxa"/>
            <w:vAlign w:val="bottom"/>
          </w:tcPr>
          <w:p>
            <w:pPr>
              <w:ind w:left="640"/>
              <w:spacing w:after="0"/>
              <w:rPr>
                <w:sz w:val="20"/>
                <w:szCs w:val="20"/>
                <w:color w:val="auto"/>
              </w:rPr>
            </w:pPr>
            <w:r>
              <w:rPr>
                <w:rFonts w:ascii="Courier New" w:cs="Courier New" w:eastAsia="Courier New" w:hAnsi="Courier New"/>
                <w:sz w:val="15"/>
                <w:szCs w:val="15"/>
                <w:color w:val="auto"/>
              </w:rPr>
              <w:t>Interest</w:t>
            </w:r>
          </w:p>
        </w:tc>
        <w:tc>
          <w:tcPr>
            <w:tcW w:w="74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75</w:t>
            </w:r>
          </w:p>
        </w:tc>
        <w:tc>
          <w:tcPr>
            <w:tcW w:w="640" w:type="dxa"/>
            <w:vAlign w:val="bottom"/>
          </w:tcPr>
          <w:p>
            <w:pPr>
              <w:spacing w:after="0"/>
              <w:rPr>
                <w:sz w:val="15"/>
                <w:szCs w:val="15"/>
                <w:color w:val="auto"/>
              </w:rPr>
            </w:pP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102</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245</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330</w:t>
            </w:r>
          </w:p>
        </w:tc>
      </w:tr>
      <w:tr>
        <w:trPr>
          <w:trHeight w:val="177"/>
        </w:trPr>
        <w:tc>
          <w:tcPr>
            <w:tcW w:w="4060" w:type="dxa"/>
            <w:vAlign w:val="bottom"/>
          </w:tcPr>
          <w:p>
            <w:pPr>
              <w:spacing w:after="0"/>
              <w:rPr>
                <w:sz w:val="15"/>
                <w:szCs w:val="15"/>
                <w:color w:val="auto"/>
              </w:rPr>
            </w:pPr>
          </w:p>
        </w:tc>
        <w:tc>
          <w:tcPr>
            <w:tcW w:w="184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6"/>
              </w:rPr>
              <w:t>17,461</w:t>
            </w:r>
          </w:p>
        </w:tc>
        <w:tc>
          <w:tcPr>
            <w:tcW w:w="640" w:type="dxa"/>
            <w:vAlign w:val="bottom"/>
          </w:tcPr>
          <w:p>
            <w:pPr>
              <w:spacing w:after="0"/>
              <w:rPr>
                <w:sz w:val="15"/>
                <w:szCs w:val="15"/>
                <w:color w:val="auto"/>
              </w:rPr>
            </w:pP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9"/>
              </w:rPr>
              <w:t>13,961</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48,312</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39,095</w:t>
            </w:r>
          </w:p>
        </w:tc>
      </w:tr>
      <w:tr>
        <w:trPr>
          <w:trHeight w:val="177"/>
        </w:trPr>
        <w:tc>
          <w:tcPr>
            <w:tcW w:w="4060" w:type="dxa"/>
            <w:vAlign w:val="bottom"/>
          </w:tcPr>
          <w:p>
            <w:pPr>
              <w:spacing w:after="0"/>
              <w:rPr>
                <w:sz w:val="15"/>
                <w:szCs w:val="15"/>
                <w:color w:val="auto"/>
              </w:rPr>
            </w:pPr>
          </w:p>
        </w:tc>
        <w:tc>
          <w:tcPr>
            <w:tcW w:w="184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40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4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($ 4,925)</w:t>
            </w:r>
          </w:p>
        </w:tc>
        <w:tc>
          <w:tcPr>
            <w:tcW w:w="640" w:type="dxa"/>
            <w:vAlign w:val="bottom"/>
          </w:tcPr>
          <w:p>
            <w:pPr>
              <w:ind w:left="46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1,395)</w:t>
            </w:r>
          </w:p>
        </w:tc>
        <w:tc>
          <w:tcPr>
            <w:tcW w:w="17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($21,688)</w:t>
            </w:r>
          </w:p>
        </w:tc>
        <w:tc>
          <w:tcPr>
            <w:tcW w:w="1380" w:type="dxa"/>
            <w:vAlign w:val="bottom"/>
          </w:tcPr>
          <w:p>
            <w:pPr>
              <w:jc w:val="right"/>
              <w:ind w:right="3"/>
              <w:spacing w:after="0"/>
              <w:rPr>
                <w:sz w:val="20"/>
                <w:szCs w:val="20"/>
                <w:color w:val="auto"/>
              </w:rPr>
            </w:pPr>
            <w:r>
              <w:rPr>
                <w:rFonts w:ascii="Courier New" w:cs="Courier New" w:eastAsia="Courier New" w:hAnsi="Courier New"/>
                <w:sz w:val="15"/>
                <w:szCs w:val="15"/>
                <w:color w:val="auto"/>
              </w:rPr>
              <w:t>($ 3,084)</w:t>
            </w:r>
          </w:p>
        </w:tc>
      </w:tr>
      <w:tr>
        <w:trPr>
          <w:trHeight w:val="177"/>
        </w:trPr>
        <w:tc>
          <w:tcPr>
            <w:tcW w:w="4060" w:type="dxa"/>
            <w:vAlign w:val="bottom"/>
          </w:tcPr>
          <w:p>
            <w:pPr>
              <w:spacing w:after="0"/>
              <w:rPr>
                <w:sz w:val="15"/>
                <w:szCs w:val="15"/>
                <w:color w:val="auto"/>
              </w:rPr>
            </w:pPr>
          </w:p>
        </w:tc>
        <w:tc>
          <w:tcPr>
            <w:tcW w:w="184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4060" w:type="dxa"/>
            <w:vAlign w:val="bottom"/>
          </w:tcPr>
          <w:p>
            <w:pPr>
              <w:spacing w:after="0"/>
              <w:rPr>
                <w:sz w:val="20"/>
                <w:szCs w:val="20"/>
                <w:color w:val="auto"/>
              </w:rPr>
            </w:pPr>
            <w:r>
              <w:rPr>
                <w:rFonts w:ascii="Courier New" w:cs="Courier New" w:eastAsia="Courier New" w:hAnsi="Courier New"/>
                <w:sz w:val="15"/>
                <w:szCs w:val="15"/>
                <w:color w:val="auto"/>
              </w:rPr>
              <w:t>Net loss per share, basic and diluted</w:t>
            </w:r>
          </w:p>
        </w:tc>
        <w:tc>
          <w:tcPr>
            <w:tcW w:w="740" w:type="dxa"/>
            <w:vAlign w:val="bottom"/>
          </w:tcPr>
          <w:p>
            <w:pPr>
              <w:ind w:left="540"/>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0.16)</w:t>
            </w:r>
          </w:p>
        </w:tc>
        <w:tc>
          <w:tcPr>
            <w:tcW w:w="640" w:type="dxa"/>
            <w:vAlign w:val="bottom"/>
          </w:tcPr>
          <w:p>
            <w:pPr>
              <w:ind w:left="46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0.04)</w:t>
            </w:r>
          </w:p>
        </w:tc>
        <w:tc>
          <w:tcPr>
            <w:tcW w:w="17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0.69)</w:t>
            </w:r>
          </w:p>
        </w:tc>
        <w:tc>
          <w:tcPr>
            <w:tcW w:w="1380" w:type="dxa"/>
            <w:vAlign w:val="bottom"/>
          </w:tcPr>
          <w:p>
            <w:pPr>
              <w:jc w:val="right"/>
              <w:ind w:right="3"/>
              <w:spacing w:after="0"/>
              <w:rPr>
                <w:sz w:val="20"/>
                <w:szCs w:val="20"/>
                <w:color w:val="auto"/>
              </w:rPr>
            </w:pPr>
            <w:r>
              <w:rPr>
                <w:rFonts w:ascii="Courier New" w:cs="Courier New" w:eastAsia="Courier New" w:hAnsi="Courier New"/>
                <w:sz w:val="15"/>
                <w:szCs w:val="15"/>
                <w:color w:val="auto"/>
              </w:rPr>
              <w:t>($  0.10)</w:t>
            </w:r>
          </w:p>
        </w:tc>
      </w:tr>
      <w:tr>
        <w:trPr>
          <w:trHeight w:val="177"/>
        </w:trPr>
        <w:tc>
          <w:tcPr>
            <w:tcW w:w="4060" w:type="dxa"/>
            <w:vAlign w:val="bottom"/>
          </w:tcPr>
          <w:p>
            <w:pPr>
              <w:spacing w:after="0"/>
              <w:rPr>
                <w:sz w:val="15"/>
                <w:szCs w:val="15"/>
                <w:color w:val="auto"/>
              </w:rPr>
            </w:pPr>
          </w:p>
        </w:tc>
        <w:tc>
          <w:tcPr>
            <w:tcW w:w="184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780"/>
          </w:cols>
          <w:pgMar w:left="240" w:top="650" w:right="87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 OF STOCKHOLDERS' EQUITY (Unaudited)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nine months ended September 30, 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1060"/>
          </w:cols>
          <w:pgMar w:left="240" w:top="650" w:right="5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Class A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w:t>
      </w:r>
    </w:p>
    <w:p>
      <w:pPr>
        <w:spacing w:after="0" w:line="8" w:lineRule="exact"/>
        <w:rPr>
          <w:sz w:val="20"/>
          <w:szCs w:val="20"/>
          <w:color w:val="auto"/>
        </w:rPr>
      </w:pPr>
    </w:p>
    <w:p>
      <w:pPr>
        <w:sectPr>
          <w:pgSz w:w="11900" w:h="16838" w:orient="portrait"/>
          <w:cols w:equalWidth="0" w:num="3">
            <w:col w:w="5540" w:space="460"/>
            <w:col w:w="1100" w:space="360"/>
            <w:col w:w="3600"/>
          </w:cols>
          <w:pgMar w:left="240" w:top="650" w:right="599" w:bottom="1440" w:gutter="0" w:footer="0" w:header="0"/>
          <w:type w:val="continuous"/>
        </w:sectPr>
      </w:pPr>
    </w:p>
    <w:p>
      <w:pPr>
        <w:ind w:left="41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140"/>
        <w:spacing w:after="0"/>
        <w:tabs>
          <w:tab w:leader="none" w:pos="504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p>
    <w:p>
      <w:pPr>
        <w:spacing w:after="0" w:line="8" w:lineRule="exact"/>
        <w:rPr>
          <w:sz w:val="20"/>
          <w:szCs w:val="20"/>
          <w:color w:val="auto"/>
        </w:rPr>
      </w:pPr>
    </w:p>
    <w:p>
      <w:pPr>
        <w:ind w:left="4140"/>
        <w:spacing w:after="0"/>
        <w:tabs>
          <w:tab w:leader="none" w:pos="50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Courier New" w:cs="Courier New" w:eastAsia="Courier New" w:hAnsi="Courier New"/>
          <w:sz w:val="15"/>
          <w:szCs w:val="15"/>
          <w:color w:val="auto"/>
        </w:rPr>
        <w:t>--------------- Shares Amount ------ ------</w:t>
      </w:r>
    </w:p>
    <w:p>
      <w:pPr>
        <w:spacing w:after="0" w:line="20" w:lineRule="exact"/>
        <w:rPr>
          <w:sz w:val="20"/>
          <w:szCs w:val="20"/>
          <w:color w:val="auto"/>
        </w:rPr>
      </w:pPr>
      <w:r>
        <w:rPr>
          <w:sz w:val="20"/>
          <w:szCs w:val="20"/>
          <w:color w:val="auto"/>
        </w:rPr>
        <w:br w:type="column"/>
      </w:r>
    </w:p>
    <w:p>
      <w:pPr>
        <w:ind w:firstLine="185"/>
        <w:spacing w:after="0" w:line="252" w:lineRule="auto"/>
        <w:rPr>
          <w:sz w:val="20"/>
          <w:szCs w:val="20"/>
          <w:color w:val="auto"/>
        </w:rPr>
      </w:pPr>
      <w:r>
        <w:rPr>
          <w:rFonts w:ascii="Courier New" w:cs="Courier New" w:eastAsia="Courier New" w:hAnsi="Courier New"/>
          <w:sz w:val="15"/>
          <w:szCs w:val="15"/>
          <w:color w:val="auto"/>
        </w:rPr>
        <w:t>Paid-in Capital ----------</w:t>
      </w:r>
    </w:p>
    <w:p>
      <w:pPr>
        <w:spacing w:after="0" w:line="20" w:lineRule="exact"/>
        <w:rPr>
          <w:sz w:val="20"/>
          <w:szCs w:val="20"/>
          <w:color w:val="auto"/>
        </w:rPr>
      </w:pPr>
      <w:r>
        <w:rPr>
          <w:sz w:val="20"/>
          <w:szCs w:val="20"/>
          <w:color w:val="auto"/>
        </w:rPr>
        <w:br w:type="column"/>
      </w:r>
    </w:p>
    <w:p>
      <w:pPr>
        <w:jc w:val="center"/>
        <w:spacing w:after="0" w:line="252" w:lineRule="auto"/>
        <w:rPr>
          <w:sz w:val="20"/>
          <w:szCs w:val="20"/>
          <w:color w:val="auto"/>
        </w:rPr>
      </w:pPr>
      <w:r>
        <w:rPr>
          <w:rFonts w:ascii="Courier New" w:cs="Courier New" w:eastAsia="Courier New" w:hAnsi="Courier New"/>
          <w:sz w:val="15"/>
          <w:szCs w:val="15"/>
          <w:color w:val="auto"/>
        </w:rPr>
        <w:t>Unearned Compensation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Accumulated</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Deficit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5">
            <w:col w:w="5620" w:space="280"/>
            <w:col w:w="1380" w:space="180"/>
            <w:col w:w="940" w:space="180"/>
            <w:col w:w="1100" w:space="280"/>
            <w:col w:w="1100"/>
          </w:cols>
          <w:pgMar w:left="240" w:top="650" w:right="59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Balance, December 31,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3,631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27,387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$308,561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($177,233)</w:t>
      </w:r>
    </w:p>
    <w:p>
      <w:pPr>
        <w:spacing w:after="0" w:line="185" w:lineRule="exact"/>
        <w:rPr>
          <w:sz w:val="20"/>
          <w:szCs w:val="20"/>
          <w:color w:val="auto"/>
        </w:rPr>
      </w:pPr>
    </w:p>
    <w:p>
      <w:pPr>
        <w:sectPr>
          <w:pgSz w:w="11900" w:h="16838" w:orient="portrait"/>
          <w:cols w:equalWidth="0" w:num="8">
            <w:col w:w="3520" w:space="720"/>
            <w:col w:w="460" w:space="560"/>
            <w:col w:w="180" w:space="460"/>
            <w:col w:w="560" w:space="460"/>
            <w:col w:w="280" w:space="360"/>
            <w:col w:w="740" w:space="560"/>
            <w:col w:w="560" w:space="720"/>
            <w:col w:w="920"/>
          </w:cols>
          <w:pgMar w:left="240" w:top="650" w:right="59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Amortization of unearned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270</w:t>
      </w:r>
    </w:p>
    <w:p>
      <w:pPr>
        <w:spacing w:after="0" w:line="8" w:lineRule="exact"/>
        <w:rPr>
          <w:sz w:val="20"/>
          <w:szCs w:val="20"/>
          <w:color w:val="auto"/>
        </w:rPr>
      </w:pPr>
    </w:p>
    <w:p>
      <w:pPr>
        <w:sectPr>
          <w:pgSz w:w="11900" w:h="16838" w:orient="portrait"/>
          <w:cols w:equalWidth="0" w:num="2">
            <w:col w:w="8320" w:space="720"/>
            <w:col w:w="2020"/>
          </w:cols>
          <w:pgMar w:left="240" w:top="650" w:right="59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Issuance of Common Stock in connection</w:t>
      </w:r>
    </w:p>
    <w:p>
      <w:pPr>
        <w:sectPr>
          <w:pgSz w:w="11900" w:h="16838" w:orient="portrait"/>
          <w:cols w:equalWidth="0" w:num="1">
            <w:col w:w="11060"/>
          </w:cols>
          <w:pgMar w:left="240" w:top="650" w:right="599" w:bottom="1440" w:gutter="0" w:footer="0" w:header="0"/>
          <w:type w:val="continuous"/>
        </w:sectPr>
      </w:pP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with exercise of stock options</w:t>
      </w:r>
    </w:p>
    <w:p>
      <w:pPr>
        <w:spacing w:after="0" w:line="20" w:lineRule="exact"/>
        <w:rPr>
          <w:sz w:val="20"/>
          <w:szCs w:val="20"/>
          <w:color w:val="auto"/>
        </w:rPr>
      </w:pPr>
      <w:r>
        <w:rPr>
          <w:sz w:val="20"/>
          <w:szCs w:val="20"/>
          <w:color w:val="auto"/>
        </w:rPr>
        <w:br w:type="column"/>
      </w:r>
    </w:p>
    <w:p>
      <w:pPr>
        <w:spacing w:after="0"/>
        <w:tabs>
          <w:tab w:leader="none" w:pos="900" w:val="left"/>
        </w:tabs>
        <w:rPr>
          <w:sz w:val="20"/>
          <w:szCs w:val="20"/>
          <w:color w:val="auto"/>
        </w:rPr>
      </w:pPr>
      <w:r>
        <w:rPr>
          <w:rFonts w:ascii="Courier New" w:cs="Courier New" w:eastAsia="Courier New" w:hAnsi="Courier New"/>
          <w:sz w:val="15"/>
          <w:szCs w:val="15"/>
          <w:color w:val="auto"/>
        </w:rPr>
        <w:t>263</w:t>
      </w:r>
      <w:r>
        <w:rPr>
          <w:sz w:val="20"/>
          <w:szCs w:val="20"/>
          <w:color w:val="auto"/>
        </w:rPr>
        <w:tab/>
      </w:r>
      <w:r>
        <w:rPr>
          <w:rFonts w:ascii="Courier New" w:cs="Courier New" w:eastAsia="Courier New" w:hAnsi="Courier New"/>
          <w:sz w:val="15"/>
          <w:szCs w:val="15"/>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971</w:t>
      </w:r>
    </w:p>
    <w:p>
      <w:pPr>
        <w:spacing w:after="0" w:line="8" w:lineRule="exact"/>
        <w:rPr>
          <w:sz w:val="20"/>
          <w:szCs w:val="20"/>
          <w:color w:val="auto"/>
        </w:rPr>
      </w:pPr>
    </w:p>
    <w:p>
      <w:pPr>
        <w:sectPr>
          <w:pgSz w:w="11900" w:h="16838" w:orient="portrait"/>
          <w:cols w:equalWidth="0" w:num="3">
            <w:col w:w="5460" w:space="720"/>
            <w:col w:w="1120" w:space="720"/>
            <w:col w:w="3040"/>
          </w:cols>
          <w:pgMar w:left="240" w:top="650" w:right="59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Issuance of Common Stock in connection</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with Company 401(k) Savings Plan</w:t>
      </w:r>
    </w:p>
    <w:p>
      <w:pPr>
        <w:sectPr>
          <w:pgSz w:w="11900" w:h="16838" w:orient="portrait"/>
          <w:cols w:equalWidth="0" w:num="1">
            <w:col w:w="11060"/>
          </w:cols>
          <w:pgMar w:left="240" w:top="650" w:right="599" w:bottom="1440" w:gutter="0" w:footer="0" w:header="0"/>
          <w:type w:val="continuous"/>
        </w:sectPr>
      </w:pP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contribution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308</w:t>
      </w:r>
    </w:p>
    <w:p>
      <w:pPr>
        <w:spacing w:after="0" w:line="8" w:lineRule="exact"/>
        <w:rPr>
          <w:sz w:val="20"/>
          <w:szCs w:val="20"/>
          <w:color w:val="auto"/>
        </w:rPr>
      </w:pPr>
    </w:p>
    <w:p>
      <w:pPr>
        <w:sectPr>
          <w:pgSz w:w="11900" w:h="16838" w:orient="portrait"/>
          <w:cols w:equalWidth="0" w:num="3">
            <w:col w:w="5540" w:space="720"/>
            <w:col w:w="1040" w:space="720"/>
            <w:col w:w="3040"/>
          </w:cols>
          <w:pgMar w:left="240" w:top="650" w:right="59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Conversion of Class A Stock to</w:t>
      </w:r>
    </w:p>
    <w:p>
      <w:pPr>
        <w:sectPr>
          <w:pgSz w:w="11900" w:h="16838" w:orient="portrait"/>
          <w:cols w:equalWidth="0" w:num="1">
            <w:col w:w="11060"/>
          </w:cols>
          <w:pgMar w:left="240" w:top="650" w:right="599" w:bottom="1440" w:gutter="0" w:footer="0" w:header="0"/>
          <w:type w:val="continuous"/>
        </w:sectPr>
      </w:pP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w:t>
      </w:r>
    </w:p>
    <w:p>
      <w:pPr>
        <w:spacing w:after="0" w:line="8" w:lineRule="exact"/>
        <w:rPr>
          <w:sz w:val="20"/>
          <w:szCs w:val="20"/>
          <w:color w:val="auto"/>
        </w:rPr>
      </w:pPr>
    </w:p>
    <w:p>
      <w:pPr>
        <w:sectPr>
          <w:pgSz w:w="11900" w:h="16838" w:orient="portrait"/>
          <w:cols w:equalWidth="0" w:num="3">
            <w:col w:w="3700" w:space="720"/>
            <w:col w:w="1120" w:space="720"/>
            <w:col w:w="4800"/>
          </w:cols>
          <w:pgMar w:left="240" w:top="650" w:right="59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(21,688)</w:t>
      </w:r>
    </w:p>
    <w:p>
      <w:pPr>
        <w:spacing w:after="0" w:line="8" w:lineRule="exact"/>
        <w:rPr>
          <w:sz w:val="20"/>
          <w:szCs w:val="20"/>
          <w:color w:val="auto"/>
        </w:rPr>
      </w:pPr>
    </w:p>
    <w:p>
      <w:pPr>
        <w:sectPr>
          <w:pgSz w:w="11900" w:h="16838" w:orient="portrait"/>
          <w:cols w:equalWidth="0" w:num="2">
            <w:col w:w="9600" w:space="720"/>
            <w:col w:w="740"/>
          </w:cols>
          <w:pgMar w:left="240" w:top="650" w:right="59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Change in net unrealized (loss) gain</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on marketable securities</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060"/>
          </w:cols>
          <w:pgMar w:left="240" w:top="650" w:right="599" w:bottom="1440" w:gutter="0" w:footer="0" w:header="0"/>
          <w:type w:val="continuous"/>
        </w:sectPr>
      </w:pP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Balance, September 30, 1999</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both"/>
        <w:ind w:firstLine="185"/>
        <w:spacing w:after="0" w:line="253" w:lineRule="auto"/>
        <w:rPr>
          <w:sz w:val="20"/>
          <w:szCs w:val="20"/>
          <w:color w:val="auto"/>
        </w:rPr>
      </w:pPr>
      <w:r>
        <w:rPr>
          <w:rFonts w:ascii="Courier New" w:cs="Courier New" w:eastAsia="Courier New" w:hAnsi="Courier New"/>
          <w:sz w:val="15"/>
          <w:szCs w:val="15"/>
          <w:color w:val="auto"/>
        </w:rPr>
        <w:t>3,621 $4 27,698 $28 $309,840 ($90) ($198,921) ============================================================================</w:t>
      </w:r>
    </w:p>
    <w:p>
      <w:pPr>
        <w:spacing w:after="0" w:line="200" w:lineRule="exact"/>
        <w:rPr>
          <w:sz w:val="20"/>
          <w:szCs w:val="20"/>
          <w:color w:val="auto"/>
        </w:rPr>
      </w:pPr>
    </w:p>
    <w:p>
      <w:pPr>
        <w:sectPr>
          <w:pgSz w:w="11900" w:h="16838" w:orient="portrait"/>
          <w:cols w:equalWidth="0" w:num="2">
            <w:col w:w="3340" w:space="720"/>
            <w:col w:w="7000"/>
          </w:cols>
          <w:pgMar w:left="240" w:top="650" w:right="599" w:bottom="1440" w:gutter="0" w:footer="0" w:header="0"/>
          <w:type w:val="continuous"/>
        </w:sectPr>
      </w:pPr>
    </w:p>
    <w:p>
      <w:pPr>
        <w:spacing w:after="0" w:line="200" w:lineRule="exact"/>
        <w:rPr>
          <w:sz w:val="20"/>
          <w:szCs w:val="20"/>
          <w:color w:val="auto"/>
        </w:rPr>
      </w:pPr>
    </w:p>
    <w:p>
      <w:pPr>
        <w:spacing w:after="0" w:line="306" w:lineRule="exact"/>
        <w:rPr>
          <w:sz w:val="20"/>
          <w:szCs w:val="20"/>
          <w:color w:val="auto"/>
        </w:rPr>
      </w:pPr>
    </w:p>
    <w:p>
      <w:pPr>
        <w:ind w:left="5060"/>
        <w:spacing w:after="0"/>
        <w:rPr>
          <w:sz w:val="20"/>
          <w:szCs w:val="20"/>
          <w:color w:val="auto"/>
        </w:rPr>
      </w:pPr>
      <w:r>
        <w:rPr>
          <w:rFonts w:ascii="Courier New" w:cs="Courier New" w:eastAsia="Courier New" w:hAnsi="Courier New"/>
          <w:sz w:val="15"/>
          <w:szCs w:val="15"/>
          <w:color w:val="auto"/>
        </w:rPr>
        <w:t>Accumulated</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Other Comprehensive</w:t>
      </w:r>
    </w:p>
    <w:p>
      <w:pPr>
        <w:spacing w:after="0" w:line="8"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(Loss) Income</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Equity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Loss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3">
            <w:col w:w="6360" w:space="460"/>
            <w:col w:w="1200" w:space="560"/>
            <w:col w:w="2480"/>
          </w:cols>
          <w:pgMar w:left="240" w:top="650" w:right="599" w:bottom="1440" w:gutter="0" w:footer="0" w:header="0"/>
          <w:type w:val="continuous"/>
        </w:sectPr>
      </w:pPr>
    </w:p>
    <w:p>
      <w:pPr>
        <w:ind w:right="1220"/>
        <w:spacing w:after="0" w:line="313" w:lineRule="auto"/>
        <w:rPr>
          <w:sz w:val="20"/>
          <w:szCs w:val="20"/>
          <w:color w:val="auto"/>
        </w:rPr>
      </w:pPr>
      <w:r>
        <w:rPr>
          <w:rFonts w:ascii="Courier New" w:cs="Courier New" w:eastAsia="Courier New" w:hAnsi="Courier New"/>
          <w:sz w:val="15"/>
          <w:szCs w:val="15"/>
          <w:color w:val="auto"/>
        </w:rPr>
        <w:t>Balance, December 31, 1998 Amortization of unearned compensation Issuance of Common Stock in connection with exercise of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$228</w:t>
      </w:r>
    </w:p>
    <w:p>
      <w:pPr>
        <w:spacing w:after="0" w:line="20" w:lineRule="exact"/>
        <w:rPr>
          <w:sz w:val="20"/>
          <w:szCs w:val="20"/>
          <w:color w:val="auto"/>
        </w:rPr>
      </w:pPr>
      <w:r>
        <w:rPr>
          <w:sz w:val="20"/>
          <w:szCs w:val="20"/>
          <w:color w:val="auto"/>
        </w:rPr>
        <w:br w:type="column"/>
      </w:r>
    </w:p>
    <w:p>
      <w:pPr>
        <w:jc w:val="right"/>
        <w:ind w:right="3220"/>
        <w:spacing w:after="0"/>
        <w:rPr>
          <w:sz w:val="20"/>
          <w:szCs w:val="20"/>
          <w:color w:val="auto"/>
        </w:rPr>
      </w:pPr>
      <w:r>
        <w:rPr>
          <w:rFonts w:ascii="Courier New" w:cs="Courier New" w:eastAsia="Courier New" w:hAnsi="Courier New"/>
          <w:sz w:val="15"/>
          <w:szCs w:val="15"/>
          <w:color w:val="auto"/>
        </w:rPr>
        <w:t>$131,227</w:t>
      </w:r>
    </w:p>
    <w:p>
      <w:pPr>
        <w:spacing w:after="0" w:line="185" w:lineRule="exact"/>
        <w:rPr>
          <w:sz w:val="20"/>
          <w:szCs w:val="20"/>
          <w:color w:val="auto"/>
        </w:rPr>
      </w:pPr>
    </w:p>
    <w:p>
      <w:pPr>
        <w:jc w:val="right"/>
        <w:ind w:right="3220"/>
        <w:spacing w:after="0"/>
        <w:rPr>
          <w:sz w:val="20"/>
          <w:szCs w:val="20"/>
          <w:color w:val="auto"/>
        </w:rPr>
      </w:pPr>
      <w:r>
        <w:rPr>
          <w:rFonts w:ascii="Courier New" w:cs="Courier New" w:eastAsia="Courier New" w:hAnsi="Courier New"/>
          <w:sz w:val="15"/>
          <w:szCs w:val="15"/>
          <w:color w:val="auto"/>
        </w:rPr>
        <w:t>270</w:t>
      </w:r>
    </w:p>
    <w:p>
      <w:pPr>
        <w:spacing w:after="0" w:line="185" w:lineRule="exact"/>
        <w:rPr>
          <w:sz w:val="20"/>
          <w:szCs w:val="20"/>
          <w:color w:val="auto"/>
        </w:rPr>
      </w:pPr>
    </w:p>
    <w:p>
      <w:pPr>
        <w:jc w:val="right"/>
        <w:ind w:right="3220"/>
        <w:spacing w:after="0"/>
        <w:rPr>
          <w:sz w:val="20"/>
          <w:szCs w:val="20"/>
          <w:color w:val="auto"/>
        </w:rPr>
      </w:pPr>
      <w:r>
        <w:rPr>
          <w:rFonts w:ascii="Courier New" w:cs="Courier New" w:eastAsia="Courier New" w:hAnsi="Courier New"/>
          <w:sz w:val="15"/>
          <w:szCs w:val="15"/>
          <w:color w:val="auto"/>
        </w:rPr>
        <w:t>972</w:t>
      </w:r>
    </w:p>
    <w:p>
      <w:pPr>
        <w:spacing w:after="0" w:line="7" w:lineRule="exact"/>
        <w:rPr>
          <w:sz w:val="20"/>
          <w:szCs w:val="20"/>
          <w:color w:val="auto"/>
        </w:rPr>
      </w:pPr>
    </w:p>
    <w:p>
      <w:pPr>
        <w:sectPr>
          <w:pgSz w:w="11900" w:h="16838" w:orient="portrait"/>
          <w:cols w:equalWidth="0" w:num="3">
            <w:col w:w="4720" w:space="720"/>
            <w:col w:w="940" w:space="720"/>
            <w:col w:w="3960"/>
          </w:cols>
          <w:pgMar w:left="240" w:top="650" w:right="59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Issuance of Common Stock in connection</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with Company 401(k) Savings Plan</w:t>
      </w:r>
    </w:p>
    <w:p>
      <w:pPr>
        <w:sectPr>
          <w:pgSz w:w="11900" w:h="16838" w:orient="portrait"/>
          <w:cols w:equalWidth="0" w:num="1">
            <w:col w:w="11060"/>
          </w:cols>
          <w:pgMar w:left="240" w:top="650" w:right="599" w:bottom="1440" w:gutter="0" w:footer="0" w:header="0"/>
          <w:type w:val="continuous"/>
        </w:sectPr>
      </w:pP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contribution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308</w:t>
      </w:r>
    </w:p>
    <w:p>
      <w:pPr>
        <w:spacing w:after="0" w:line="8" w:lineRule="exact"/>
        <w:rPr>
          <w:sz w:val="20"/>
          <w:szCs w:val="20"/>
          <w:color w:val="auto"/>
        </w:rPr>
      </w:pPr>
    </w:p>
    <w:p>
      <w:pPr>
        <w:sectPr>
          <w:pgSz w:w="11900" w:h="16838" w:orient="portrait"/>
          <w:cols w:equalWidth="0" w:num="2">
            <w:col w:w="6840" w:space="720"/>
            <w:col w:w="3500"/>
          </w:cols>
          <w:pgMar w:left="240" w:top="650" w:right="59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Conversion of Class A Stock to</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Common Stock</w:t>
      </w:r>
    </w:p>
    <w:p>
      <w:pPr>
        <w:sectPr>
          <w:pgSz w:w="11900" w:h="16838" w:orient="portrait"/>
          <w:cols w:equalWidth="0" w:num="1">
            <w:col w:w="11060"/>
          </w:cols>
          <w:pgMar w:left="240" w:top="650" w:right="59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net unrealized (loss) gain</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on marketable securities</w:t>
      </w:r>
    </w:p>
    <w:p>
      <w:pPr>
        <w:spacing w:after="0" w:line="20" w:lineRule="exact"/>
        <w:rPr>
          <w:sz w:val="20"/>
          <w:szCs w:val="20"/>
          <w:color w:val="auto"/>
        </w:rPr>
      </w:pPr>
      <w:r>
        <w:rPr>
          <w:sz w:val="20"/>
          <w:szCs w:val="20"/>
          <w:color w:val="auto"/>
        </w:rPr>
        <w:br w:type="column"/>
      </w:r>
    </w:p>
    <w:p>
      <w:pPr>
        <w:ind w:left="2500"/>
        <w:spacing w:after="0"/>
        <w:tabs>
          <w:tab w:leader="none" w:pos="4140" w:val="left"/>
        </w:tabs>
        <w:rPr>
          <w:sz w:val="20"/>
          <w:szCs w:val="20"/>
          <w:color w:val="auto"/>
        </w:rPr>
      </w:pPr>
      <w:r>
        <w:rPr>
          <w:rFonts w:ascii="Courier New" w:cs="Courier New" w:eastAsia="Courier New" w:hAnsi="Courier New"/>
          <w:sz w:val="15"/>
          <w:szCs w:val="15"/>
          <w:color w:val="auto"/>
        </w:rPr>
        <w:t>(21,688)</w:t>
      </w:r>
      <w:r>
        <w:rPr>
          <w:sz w:val="20"/>
          <w:szCs w:val="20"/>
          <w:color w:val="auto"/>
        </w:rPr>
        <w:tab/>
      </w:r>
      <w:r>
        <w:rPr>
          <w:rFonts w:ascii="Courier New" w:cs="Courier New" w:eastAsia="Courier New" w:hAnsi="Courier New"/>
          <w:sz w:val="15"/>
          <w:szCs w:val="15"/>
          <w:color w:val="auto"/>
        </w:rPr>
        <w:t>($21,688)</w:t>
      </w:r>
    </w:p>
    <w:p>
      <w:pPr>
        <w:spacing w:after="0" w:line="185" w:lineRule="exact"/>
        <w:rPr>
          <w:sz w:val="20"/>
          <w:szCs w:val="20"/>
          <w:color w:val="auto"/>
        </w:rPr>
      </w:pPr>
    </w:p>
    <w:p>
      <w:pPr>
        <w:ind w:left="740"/>
        <w:spacing w:after="0"/>
        <w:tabs>
          <w:tab w:leader="none" w:pos="2740" w:val="left"/>
          <w:tab w:leader="none" w:pos="4500" w:val="left"/>
        </w:tabs>
        <w:rPr>
          <w:sz w:val="20"/>
          <w:szCs w:val="20"/>
          <w:color w:val="auto"/>
        </w:rPr>
      </w:pPr>
      <w:r>
        <w:rPr>
          <w:rFonts w:ascii="Courier New" w:cs="Courier New" w:eastAsia="Courier New" w:hAnsi="Courier New"/>
          <w:sz w:val="15"/>
          <w:szCs w:val="15"/>
          <w:color w:val="auto"/>
        </w:rPr>
        <w:t>(562)</w:t>
      </w:r>
      <w:r>
        <w:rPr>
          <w:sz w:val="20"/>
          <w:szCs w:val="20"/>
          <w:color w:val="auto"/>
        </w:rPr>
        <w:tab/>
      </w:r>
      <w:r>
        <w:rPr>
          <w:rFonts w:ascii="Courier New" w:cs="Courier New" w:eastAsia="Courier New" w:hAnsi="Courier New"/>
          <w:sz w:val="15"/>
          <w:szCs w:val="15"/>
          <w:color w:val="auto"/>
        </w:rPr>
        <w:t>(562)</w:t>
      </w:r>
      <w:r>
        <w:rPr>
          <w:sz w:val="20"/>
          <w:szCs w:val="20"/>
          <w:color w:val="auto"/>
        </w:rPr>
        <w:tab/>
      </w:r>
      <w:r>
        <w:rPr>
          <w:rFonts w:ascii="Courier New" w:cs="Courier New" w:eastAsia="Courier New" w:hAnsi="Courier New"/>
          <w:sz w:val="15"/>
          <w:szCs w:val="15"/>
          <w:color w:val="auto"/>
        </w:rPr>
        <w:t>(562)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3980" w:space="720"/>
            <w:col w:w="6360"/>
          </w:cols>
          <w:pgMar w:left="240" w:top="650" w:right="599" w:bottom="1440" w:gutter="0" w:footer="0" w:header="0"/>
          <w:type w:val="continuous"/>
        </w:sectPr>
      </w:pPr>
    </w:p>
    <w:p>
      <w:pPr>
        <w:ind w:left="460"/>
        <w:spacing w:after="0"/>
        <w:rPr>
          <w:sz w:val="20"/>
          <w:szCs w:val="20"/>
          <w:color w:val="auto"/>
        </w:rPr>
      </w:pPr>
      <w:r>
        <w:rPr>
          <w:rFonts w:ascii="Courier New" w:cs="Courier New" w:eastAsia="Courier New" w:hAnsi="Courier New"/>
          <w:sz w:val="15"/>
          <w:szCs w:val="15"/>
          <w:color w:val="auto"/>
        </w:rPr>
        <w:t>Balance, September 30, 1999</w:t>
      </w:r>
    </w:p>
    <w:p>
      <w:pPr>
        <w:spacing w:after="0" w:line="20" w:lineRule="exact"/>
        <w:rPr>
          <w:sz w:val="20"/>
          <w:szCs w:val="20"/>
          <w:color w:val="auto"/>
        </w:rPr>
      </w:pPr>
      <w:r>
        <w:rPr>
          <w:sz w:val="20"/>
          <w:szCs w:val="20"/>
          <w:color w:val="auto"/>
        </w:rPr>
        <w:br w:type="column"/>
      </w:r>
    </w:p>
    <w:p>
      <w:pPr>
        <w:ind w:left="740"/>
        <w:spacing w:after="0"/>
        <w:tabs>
          <w:tab w:leader="none" w:pos="2480" w:val="left"/>
          <w:tab w:leader="none" w:pos="4240" w:val="left"/>
        </w:tabs>
        <w:rPr>
          <w:sz w:val="20"/>
          <w:szCs w:val="20"/>
          <w:color w:val="auto"/>
        </w:rPr>
      </w:pPr>
      <w:r>
        <w:rPr>
          <w:rFonts w:ascii="Courier New" w:cs="Courier New" w:eastAsia="Courier New" w:hAnsi="Courier New"/>
          <w:sz w:val="15"/>
          <w:szCs w:val="15"/>
          <w:color w:val="auto"/>
        </w:rPr>
        <w:t>($334)</w:t>
      </w:r>
      <w:r>
        <w:rPr>
          <w:sz w:val="20"/>
          <w:szCs w:val="20"/>
          <w:color w:val="auto"/>
        </w:rPr>
        <w:tab/>
      </w:r>
      <w:r>
        <w:rPr>
          <w:rFonts w:ascii="Courier New" w:cs="Courier New" w:eastAsia="Courier New" w:hAnsi="Courier New"/>
          <w:sz w:val="15"/>
          <w:szCs w:val="15"/>
          <w:color w:val="auto"/>
        </w:rPr>
        <w:t>$110,527</w:t>
      </w:r>
      <w:r>
        <w:rPr>
          <w:sz w:val="20"/>
          <w:szCs w:val="20"/>
          <w:color w:val="auto"/>
        </w:rPr>
        <w:tab/>
      </w:r>
      <w:r>
        <w:rPr>
          <w:rFonts w:ascii="Courier New" w:cs="Courier New" w:eastAsia="Courier New" w:hAnsi="Courier New"/>
          <w:sz w:val="15"/>
          <w:szCs w:val="15"/>
          <w:color w:val="auto"/>
        </w:rPr>
        <w:t>($22,250)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880" w:space="720"/>
            <w:col w:w="6460"/>
          </w:cols>
          <w:pgMar w:left="240" w:top="650" w:right="599" w:bottom="1440" w:gutter="0" w:footer="0" w:header="0"/>
          <w:type w:val="continuous"/>
        </w:sectPr>
      </w:pPr>
    </w:p>
    <w:p>
      <w:pPr>
        <w:spacing w:after="0" w:line="340"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060"/>
          </w:cols>
          <w:pgMar w:left="240" w:top="650" w:right="599"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CASH FLOWS (Unaudited)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(Decrease) in Cash and Cash Equivalents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60" w:type="dxa"/>
            <w:vAlign w:val="bottom"/>
          </w:tcPr>
          <w:p>
            <w:pPr>
              <w:spacing w:after="0"/>
              <w:rPr>
                <w:sz w:val="14"/>
                <w:szCs w:val="14"/>
                <w:color w:val="auto"/>
              </w:rPr>
            </w:pPr>
          </w:p>
        </w:tc>
        <w:tc>
          <w:tcPr>
            <w:tcW w:w="3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7"/>
        </w:trPr>
        <w:tc>
          <w:tcPr>
            <w:tcW w:w="6960" w:type="dxa"/>
            <w:vAlign w:val="bottom"/>
          </w:tcPr>
          <w:p>
            <w:pPr>
              <w:spacing w:after="0"/>
              <w:rPr>
                <w:sz w:val="15"/>
                <w:szCs w:val="15"/>
                <w:color w:val="auto"/>
              </w:rPr>
            </w:pPr>
          </w:p>
        </w:tc>
        <w:tc>
          <w:tcPr>
            <w:tcW w:w="14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1999</w:t>
            </w:r>
          </w:p>
        </w:tc>
        <w:tc>
          <w:tcPr>
            <w:tcW w:w="15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1998</w:t>
            </w:r>
          </w:p>
        </w:tc>
      </w:tr>
      <w:tr>
        <w:trPr>
          <w:trHeight w:val="177"/>
        </w:trPr>
        <w:tc>
          <w:tcPr>
            <w:tcW w:w="6960" w:type="dxa"/>
            <w:vAlign w:val="bottom"/>
          </w:tcPr>
          <w:p>
            <w:pPr>
              <w:spacing w:after="0"/>
              <w:rPr>
                <w:sz w:val="15"/>
                <w:szCs w:val="15"/>
                <w:color w:val="auto"/>
              </w:rPr>
            </w:pP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355"/>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7"/>
        </w:trPr>
        <w:tc>
          <w:tcPr>
            <w:tcW w:w="6960" w:type="dxa"/>
            <w:vAlign w:val="bottom"/>
          </w:tcPr>
          <w:p>
            <w:pPr>
              <w:ind w:left="360"/>
              <w:spacing w:after="0"/>
              <w:rPr>
                <w:sz w:val="20"/>
                <w:szCs w:val="20"/>
                <w:color w:val="auto"/>
              </w:rPr>
            </w:pPr>
            <w:r>
              <w:rPr>
                <w:rFonts w:ascii="Courier New" w:cs="Courier New" w:eastAsia="Courier New" w:hAnsi="Courier New"/>
                <w:sz w:val="15"/>
                <w:szCs w:val="15"/>
                <w:color w:val="auto"/>
              </w:rPr>
              <w:t>Net loss</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($21,688)</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($3,084)</w:t>
            </w:r>
          </w:p>
        </w:tc>
      </w:tr>
      <w:tr>
        <w:trPr>
          <w:trHeight w:val="177"/>
        </w:trPr>
        <w:tc>
          <w:tcPr>
            <w:tcW w:w="6960" w:type="dxa"/>
            <w:vAlign w:val="bottom"/>
          </w:tcPr>
          <w:p>
            <w:pPr>
              <w:spacing w:after="0"/>
              <w:rPr>
                <w:sz w:val="15"/>
                <w:szCs w:val="15"/>
                <w:color w:val="auto"/>
              </w:rPr>
            </w:pP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6960" w:type="dxa"/>
            <w:vAlign w:val="bottom"/>
          </w:tcPr>
          <w:p>
            <w:pPr>
              <w:ind w:left="360"/>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14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7"/>
        </w:trPr>
        <w:tc>
          <w:tcPr>
            <w:tcW w:w="6960" w:type="dxa"/>
            <w:vAlign w:val="bottom"/>
          </w:tcPr>
          <w:p>
            <w:pPr>
              <w:ind w:left="540"/>
              <w:spacing w:after="0"/>
              <w:rPr>
                <w:sz w:val="20"/>
                <w:szCs w:val="20"/>
                <w:color w:val="auto"/>
              </w:rPr>
            </w:pPr>
            <w:r>
              <w:rPr>
                <w:rFonts w:ascii="Courier New" w:cs="Courier New" w:eastAsia="Courier New" w:hAnsi="Courier New"/>
                <w:sz w:val="15"/>
                <w:szCs w:val="15"/>
                <w:color w:val="auto"/>
              </w:rPr>
              <w:t>used in operating activities</w:t>
            </w:r>
          </w:p>
        </w:tc>
        <w:tc>
          <w:tcPr>
            <w:tcW w:w="14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7"/>
        </w:trPr>
        <w:tc>
          <w:tcPr>
            <w:tcW w:w="6960" w:type="dxa"/>
            <w:vAlign w:val="bottom"/>
          </w:tcPr>
          <w:p>
            <w:pPr>
              <w:ind w:left="740"/>
              <w:spacing w:after="0"/>
              <w:rPr>
                <w:sz w:val="20"/>
                <w:szCs w:val="20"/>
                <w:color w:val="auto"/>
              </w:rPr>
            </w:pPr>
            <w:r>
              <w:rPr>
                <w:rFonts w:ascii="Courier New" w:cs="Courier New" w:eastAsia="Courier New" w:hAnsi="Courier New"/>
                <w:sz w:val="15"/>
                <w:szCs w:val="15"/>
                <w:color w:val="auto"/>
              </w:rPr>
              <w:t>Loss in Amgen-Regeneron Partners</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2,509</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1,551</w:t>
            </w:r>
          </w:p>
        </w:tc>
      </w:tr>
      <w:tr>
        <w:trPr>
          <w:trHeight w:val="177"/>
        </w:trPr>
        <w:tc>
          <w:tcPr>
            <w:tcW w:w="6960" w:type="dxa"/>
            <w:vAlign w:val="bottom"/>
          </w:tcPr>
          <w:p>
            <w:pPr>
              <w:ind w:left="740"/>
              <w:spacing w:after="0"/>
              <w:rPr>
                <w:sz w:val="20"/>
                <w:szCs w:val="20"/>
                <w:color w:val="auto"/>
              </w:rPr>
            </w:pPr>
            <w:r>
              <w:rPr>
                <w:rFonts w:ascii="Courier New" w:cs="Courier New" w:eastAsia="Courier New" w:hAnsi="Courier New"/>
                <w:sz w:val="15"/>
                <w:szCs w:val="15"/>
                <w:color w:val="auto"/>
              </w:rPr>
              <w:t>Depreciation and amortization</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2,452</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2,330</w:t>
            </w:r>
          </w:p>
        </w:tc>
      </w:tr>
      <w:tr>
        <w:trPr>
          <w:trHeight w:val="177"/>
        </w:trPr>
        <w:tc>
          <w:tcPr>
            <w:tcW w:w="6960" w:type="dxa"/>
            <w:vAlign w:val="bottom"/>
          </w:tcPr>
          <w:p>
            <w:pPr>
              <w:ind w:left="740"/>
              <w:spacing w:after="0"/>
              <w:rPr>
                <w:sz w:val="20"/>
                <w:szCs w:val="20"/>
                <w:color w:val="auto"/>
              </w:rPr>
            </w:pPr>
            <w:r>
              <w:rPr>
                <w:rFonts w:ascii="Courier New" w:cs="Courier New" w:eastAsia="Courier New" w:hAnsi="Courier New"/>
                <w:sz w:val="15"/>
                <w:szCs w:val="15"/>
                <w:color w:val="auto"/>
              </w:rPr>
              <w:t>Stock issued in consideration for services rendered</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270</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270</w:t>
            </w:r>
          </w:p>
        </w:tc>
      </w:tr>
      <w:tr>
        <w:trPr>
          <w:trHeight w:val="177"/>
        </w:trPr>
        <w:tc>
          <w:tcPr>
            <w:tcW w:w="6960" w:type="dxa"/>
            <w:vAlign w:val="bottom"/>
          </w:tcPr>
          <w:p>
            <w:pPr>
              <w:ind w:left="740"/>
              <w:spacing w:after="0"/>
              <w:rPr>
                <w:sz w:val="20"/>
                <w:szCs w:val="20"/>
                <w:color w:val="auto"/>
              </w:rPr>
            </w:pPr>
            <w:r>
              <w:rPr>
                <w:rFonts w:ascii="Courier New" w:cs="Courier New" w:eastAsia="Courier New" w:hAnsi="Courier New"/>
                <w:sz w:val="15"/>
                <w:szCs w:val="15"/>
                <w:color w:val="auto"/>
              </w:rPr>
              <w:t>Changes in assets and liabilities</w:t>
            </w:r>
          </w:p>
        </w:tc>
        <w:tc>
          <w:tcPr>
            <w:tcW w:w="14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7"/>
        </w:trPr>
        <w:tc>
          <w:tcPr>
            <w:tcW w:w="6960" w:type="dxa"/>
            <w:vAlign w:val="bottom"/>
          </w:tcPr>
          <w:p>
            <w:pPr>
              <w:ind w:left="920"/>
              <w:spacing w:after="0"/>
              <w:rPr>
                <w:sz w:val="20"/>
                <w:szCs w:val="20"/>
                <w:color w:val="auto"/>
              </w:rPr>
            </w:pPr>
            <w:r>
              <w:rPr>
                <w:rFonts w:ascii="Courier New" w:cs="Courier New" w:eastAsia="Courier New" w:hAnsi="Courier New"/>
                <w:sz w:val="15"/>
                <w:szCs w:val="15"/>
                <w:color w:val="auto"/>
              </w:rPr>
              <w:t>Increase in amounts due from The Procter &amp; Gamble Company</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(4,637)</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(133)</w:t>
            </w:r>
          </w:p>
        </w:tc>
      </w:tr>
      <w:tr>
        <w:trPr>
          <w:trHeight w:val="177"/>
        </w:trPr>
        <w:tc>
          <w:tcPr>
            <w:tcW w:w="6960" w:type="dxa"/>
            <w:vAlign w:val="bottom"/>
          </w:tcPr>
          <w:p>
            <w:pPr>
              <w:ind w:left="920"/>
              <w:spacing w:after="0"/>
              <w:rPr>
                <w:sz w:val="20"/>
                <w:szCs w:val="20"/>
                <w:color w:val="auto"/>
              </w:rPr>
            </w:pPr>
            <w:r>
              <w:rPr>
                <w:rFonts w:ascii="Courier New" w:cs="Courier New" w:eastAsia="Courier New" w:hAnsi="Courier New"/>
                <w:sz w:val="15"/>
                <w:szCs w:val="15"/>
                <w:color w:val="auto"/>
              </w:rPr>
              <w:t>Decrease (increase) in amounts due from Merck &amp; Co., Inc.</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915</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(365)</w:t>
            </w:r>
          </w:p>
        </w:tc>
      </w:tr>
      <w:tr>
        <w:trPr>
          <w:trHeight w:val="177"/>
        </w:trPr>
        <w:tc>
          <w:tcPr>
            <w:tcW w:w="6960" w:type="dxa"/>
            <w:vAlign w:val="bottom"/>
          </w:tcPr>
          <w:p>
            <w:pPr>
              <w:ind w:left="920"/>
              <w:spacing w:after="0"/>
              <w:rPr>
                <w:sz w:val="20"/>
                <w:szCs w:val="20"/>
                <w:color w:val="auto"/>
              </w:rPr>
            </w:pPr>
            <w:r>
              <w:rPr>
                <w:rFonts w:ascii="Courier New" w:cs="Courier New" w:eastAsia="Courier New" w:hAnsi="Courier New"/>
                <w:sz w:val="15"/>
                <w:szCs w:val="15"/>
                <w:color w:val="auto"/>
              </w:rPr>
              <w:t>Decrease (increase) in amounts due from Amgen-Regeneron Partners</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709</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(371)</w:t>
            </w:r>
          </w:p>
        </w:tc>
      </w:tr>
      <w:tr>
        <w:trPr>
          <w:trHeight w:val="177"/>
        </w:trPr>
        <w:tc>
          <w:tcPr>
            <w:tcW w:w="6960" w:type="dxa"/>
            <w:vAlign w:val="bottom"/>
          </w:tcPr>
          <w:p>
            <w:pPr>
              <w:ind w:left="920"/>
              <w:spacing w:after="0"/>
              <w:rPr>
                <w:sz w:val="20"/>
                <w:szCs w:val="20"/>
                <w:color w:val="auto"/>
              </w:rPr>
            </w:pPr>
            <w:r>
              <w:rPr>
                <w:rFonts w:ascii="Courier New" w:cs="Courier New" w:eastAsia="Courier New" w:hAnsi="Courier New"/>
                <w:sz w:val="15"/>
                <w:szCs w:val="15"/>
                <w:color w:val="auto"/>
              </w:rPr>
              <w:t>Decrease in amounts due from Sumitomo Pharmaceuticals Co., Ltd.</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67</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2,049</w:t>
            </w:r>
          </w:p>
        </w:tc>
      </w:tr>
      <w:tr>
        <w:trPr>
          <w:trHeight w:val="177"/>
        </w:trPr>
        <w:tc>
          <w:tcPr>
            <w:tcW w:w="6960" w:type="dxa"/>
            <w:vAlign w:val="bottom"/>
          </w:tcPr>
          <w:p>
            <w:pPr>
              <w:ind w:left="920"/>
              <w:spacing w:after="0"/>
              <w:rPr>
                <w:sz w:val="20"/>
                <w:szCs w:val="20"/>
                <w:color w:val="auto"/>
              </w:rPr>
            </w:pPr>
            <w:r>
              <w:rPr>
                <w:rFonts w:ascii="Courier New" w:cs="Courier New" w:eastAsia="Courier New" w:hAnsi="Courier New"/>
                <w:sz w:val="15"/>
                <w:szCs w:val="15"/>
                <w:color w:val="auto"/>
              </w:rPr>
              <w:t>Increase in investment in Amgen-Regeneron Partners</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(768)</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(3,818)</w:t>
            </w:r>
          </w:p>
        </w:tc>
      </w:tr>
      <w:tr>
        <w:trPr>
          <w:trHeight w:val="177"/>
        </w:trPr>
        <w:tc>
          <w:tcPr>
            <w:tcW w:w="6960" w:type="dxa"/>
            <w:vAlign w:val="bottom"/>
          </w:tcPr>
          <w:p>
            <w:pPr>
              <w:ind w:left="920"/>
              <w:spacing w:after="0"/>
              <w:rPr>
                <w:sz w:val="20"/>
                <w:szCs w:val="20"/>
                <w:color w:val="auto"/>
              </w:rPr>
            </w:pPr>
            <w:r>
              <w:rPr>
                <w:rFonts w:ascii="Courier New" w:cs="Courier New" w:eastAsia="Courier New" w:hAnsi="Courier New"/>
                <w:sz w:val="15"/>
                <w:szCs w:val="15"/>
                <w:color w:val="auto"/>
              </w:rPr>
              <w:t>Increase in prepaid expenses and other assets</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(300)</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(702)</w:t>
            </w:r>
          </w:p>
        </w:tc>
      </w:tr>
      <w:tr>
        <w:trPr>
          <w:trHeight w:val="177"/>
        </w:trPr>
        <w:tc>
          <w:tcPr>
            <w:tcW w:w="6960" w:type="dxa"/>
            <w:vAlign w:val="bottom"/>
          </w:tcPr>
          <w:p>
            <w:pPr>
              <w:ind w:left="920"/>
              <w:spacing w:after="0"/>
              <w:rPr>
                <w:sz w:val="20"/>
                <w:szCs w:val="20"/>
                <w:color w:val="auto"/>
              </w:rPr>
            </w:pPr>
            <w:r>
              <w:rPr>
                <w:rFonts w:ascii="Courier New" w:cs="Courier New" w:eastAsia="Courier New" w:hAnsi="Courier New"/>
                <w:sz w:val="15"/>
                <w:szCs w:val="15"/>
                <w:color w:val="auto"/>
              </w:rPr>
              <w:t>Decrease in deferred revenue</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(2,558)</w:t>
            </w:r>
          </w:p>
        </w:tc>
      </w:tr>
      <w:tr>
        <w:trPr>
          <w:trHeight w:val="177"/>
        </w:trPr>
        <w:tc>
          <w:tcPr>
            <w:tcW w:w="6960" w:type="dxa"/>
            <w:vAlign w:val="bottom"/>
          </w:tcPr>
          <w:p>
            <w:pPr>
              <w:ind w:left="920"/>
              <w:spacing w:after="0"/>
              <w:rPr>
                <w:sz w:val="20"/>
                <w:szCs w:val="20"/>
                <w:color w:val="auto"/>
              </w:rPr>
            </w:pPr>
            <w:r>
              <w:rPr>
                <w:rFonts w:ascii="Courier New" w:cs="Courier New" w:eastAsia="Courier New" w:hAnsi="Courier New"/>
                <w:sz w:val="15"/>
                <w:szCs w:val="15"/>
                <w:color w:val="auto"/>
              </w:rPr>
              <w:t>(Decrease) increase in accounts payable, accrued expenses,</w:t>
            </w:r>
          </w:p>
        </w:tc>
        <w:tc>
          <w:tcPr>
            <w:tcW w:w="144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7"/>
        </w:trPr>
        <w:tc>
          <w:tcPr>
            <w:tcW w:w="6960" w:type="dxa"/>
            <w:vAlign w:val="bottom"/>
          </w:tcPr>
          <w:p>
            <w:pPr>
              <w:ind w:left="1200"/>
              <w:spacing w:after="0"/>
              <w:rPr>
                <w:sz w:val="20"/>
                <w:szCs w:val="20"/>
                <w:color w:val="auto"/>
              </w:rPr>
            </w:pPr>
            <w:r>
              <w:rPr>
                <w:rFonts w:ascii="Courier New" w:cs="Courier New" w:eastAsia="Courier New" w:hAnsi="Courier New"/>
                <w:sz w:val="15"/>
                <w:szCs w:val="15"/>
                <w:color w:val="auto"/>
              </w:rPr>
              <w:t>and other liabilities</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(322)</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330</w:t>
            </w:r>
          </w:p>
        </w:tc>
      </w:tr>
      <w:tr>
        <w:trPr>
          <w:trHeight w:val="177"/>
        </w:trPr>
        <w:tc>
          <w:tcPr>
            <w:tcW w:w="6960" w:type="dxa"/>
            <w:vAlign w:val="bottom"/>
          </w:tcPr>
          <w:p>
            <w:pPr>
              <w:spacing w:after="0"/>
              <w:rPr>
                <w:sz w:val="15"/>
                <w:szCs w:val="15"/>
                <w:color w:val="auto"/>
              </w:rPr>
            </w:pP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6960" w:type="dxa"/>
            <w:vAlign w:val="bottom"/>
          </w:tcPr>
          <w:p>
            <w:pPr>
              <w:ind w:left="1660"/>
              <w:spacing w:after="0"/>
              <w:rPr>
                <w:sz w:val="20"/>
                <w:szCs w:val="20"/>
                <w:color w:val="auto"/>
              </w:rPr>
            </w:pPr>
            <w:r>
              <w:rPr>
                <w:rFonts w:ascii="Courier New" w:cs="Courier New" w:eastAsia="Courier New" w:hAnsi="Courier New"/>
                <w:sz w:val="15"/>
                <w:szCs w:val="15"/>
                <w:color w:val="auto"/>
              </w:rPr>
              <w:t>Total adjustments</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894</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(1,417)</w:t>
            </w:r>
          </w:p>
        </w:tc>
      </w:tr>
      <w:tr>
        <w:trPr>
          <w:trHeight w:val="177"/>
        </w:trPr>
        <w:tc>
          <w:tcPr>
            <w:tcW w:w="6960" w:type="dxa"/>
            <w:vAlign w:val="bottom"/>
          </w:tcPr>
          <w:p>
            <w:pPr>
              <w:spacing w:after="0"/>
              <w:rPr>
                <w:sz w:val="15"/>
                <w:szCs w:val="15"/>
                <w:color w:val="auto"/>
              </w:rPr>
            </w:pP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6960" w:type="dxa"/>
            <w:vAlign w:val="bottom"/>
          </w:tcPr>
          <w:p>
            <w:pPr>
              <w:ind w:left="1200"/>
              <w:spacing w:after="0"/>
              <w:rPr>
                <w:sz w:val="20"/>
                <w:szCs w:val="20"/>
                <w:color w:val="auto"/>
              </w:rPr>
            </w:pPr>
            <w:r>
              <w:rPr>
                <w:rFonts w:ascii="Courier New" w:cs="Courier New" w:eastAsia="Courier New" w:hAnsi="Courier New"/>
                <w:sz w:val="15"/>
                <w:szCs w:val="15"/>
                <w:color w:val="auto"/>
              </w:rPr>
              <w:t>Net cash used in operating activities</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(20,794)</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(4,501)</w:t>
            </w:r>
          </w:p>
        </w:tc>
      </w:tr>
      <w:tr>
        <w:trPr>
          <w:trHeight w:val="177"/>
        </w:trPr>
        <w:tc>
          <w:tcPr>
            <w:tcW w:w="6960" w:type="dxa"/>
            <w:vAlign w:val="bottom"/>
          </w:tcPr>
          <w:p>
            <w:pPr>
              <w:spacing w:after="0"/>
              <w:rPr>
                <w:sz w:val="15"/>
                <w:szCs w:val="15"/>
                <w:color w:val="auto"/>
              </w:rPr>
            </w:pP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355"/>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7"/>
        </w:trPr>
        <w:tc>
          <w:tcPr>
            <w:tcW w:w="6960" w:type="dxa"/>
            <w:vAlign w:val="bottom"/>
          </w:tcPr>
          <w:p>
            <w:pPr>
              <w:ind w:left="360"/>
              <w:spacing w:after="0"/>
              <w:rPr>
                <w:sz w:val="20"/>
                <w:szCs w:val="20"/>
                <w:color w:val="auto"/>
              </w:rPr>
            </w:pPr>
            <w:r>
              <w:rPr>
                <w:rFonts w:ascii="Courier New" w:cs="Courier New" w:eastAsia="Courier New" w:hAnsi="Courier New"/>
                <w:sz w:val="15"/>
                <w:szCs w:val="15"/>
                <w:color w:val="auto"/>
              </w:rPr>
              <w:t>Purchases of marketable securities</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(45,134)</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(74,108)</w:t>
            </w:r>
          </w:p>
        </w:tc>
      </w:tr>
      <w:tr>
        <w:trPr>
          <w:trHeight w:val="177"/>
        </w:trPr>
        <w:tc>
          <w:tcPr>
            <w:tcW w:w="6960" w:type="dxa"/>
            <w:vAlign w:val="bottom"/>
          </w:tcPr>
          <w:p>
            <w:pPr>
              <w:ind w:left="360"/>
              <w:spacing w:after="0"/>
              <w:rPr>
                <w:sz w:val="20"/>
                <w:szCs w:val="20"/>
                <w:color w:val="auto"/>
              </w:rPr>
            </w:pPr>
            <w:r>
              <w:rPr>
                <w:rFonts w:ascii="Courier New" w:cs="Courier New" w:eastAsia="Courier New" w:hAnsi="Courier New"/>
                <w:sz w:val="15"/>
                <w:szCs w:val="15"/>
                <w:color w:val="auto"/>
              </w:rPr>
              <w:t>Sales of marketable securities</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74,437</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75,776</w:t>
            </w:r>
          </w:p>
        </w:tc>
      </w:tr>
      <w:tr>
        <w:trPr>
          <w:trHeight w:val="177"/>
        </w:trPr>
        <w:tc>
          <w:tcPr>
            <w:tcW w:w="6960" w:type="dxa"/>
            <w:vAlign w:val="bottom"/>
          </w:tcPr>
          <w:p>
            <w:pPr>
              <w:ind w:left="360"/>
              <w:spacing w:after="0"/>
              <w:rPr>
                <w:sz w:val="20"/>
                <w:szCs w:val="20"/>
                <w:color w:val="auto"/>
              </w:rPr>
            </w:pPr>
            <w:r>
              <w:rPr>
                <w:rFonts w:ascii="Courier New" w:cs="Courier New" w:eastAsia="Courier New" w:hAnsi="Courier New"/>
                <w:sz w:val="15"/>
                <w:szCs w:val="15"/>
                <w:color w:val="auto"/>
              </w:rPr>
              <w:t>Capital expenditures</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(4,883)</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(2,380)</w:t>
            </w:r>
          </w:p>
        </w:tc>
      </w:tr>
      <w:tr>
        <w:trPr>
          <w:trHeight w:val="177"/>
        </w:trPr>
        <w:tc>
          <w:tcPr>
            <w:tcW w:w="6960" w:type="dxa"/>
            <w:vAlign w:val="bottom"/>
          </w:tcPr>
          <w:p>
            <w:pPr>
              <w:spacing w:after="0"/>
              <w:rPr>
                <w:sz w:val="15"/>
                <w:szCs w:val="15"/>
                <w:color w:val="auto"/>
              </w:rPr>
            </w:pP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6960" w:type="dxa"/>
            <w:vAlign w:val="bottom"/>
          </w:tcPr>
          <w:p>
            <w:pPr>
              <w:ind w:left="1200"/>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24,420</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(712)</w:t>
            </w:r>
          </w:p>
        </w:tc>
      </w:tr>
      <w:tr>
        <w:trPr>
          <w:trHeight w:val="177"/>
        </w:trPr>
        <w:tc>
          <w:tcPr>
            <w:tcW w:w="6960" w:type="dxa"/>
            <w:vAlign w:val="bottom"/>
          </w:tcPr>
          <w:p>
            <w:pPr>
              <w:spacing w:after="0"/>
              <w:rPr>
                <w:sz w:val="15"/>
                <w:szCs w:val="15"/>
                <w:color w:val="auto"/>
              </w:rPr>
            </w:pP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355"/>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4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7"/>
        </w:trPr>
        <w:tc>
          <w:tcPr>
            <w:tcW w:w="6960" w:type="dxa"/>
            <w:vAlign w:val="bottom"/>
          </w:tcPr>
          <w:p>
            <w:pPr>
              <w:ind w:left="360"/>
              <w:spacing w:after="0"/>
              <w:rPr>
                <w:sz w:val="20"/>
                <w:szCs w:val="20"/>
                <w:color w:val="auto"/>
              </w:rPr>
            </w:pPr>
            <w:r>
              <w:rPr>
                <w:rFonts w:ascii="Courier New" w:cs="Courier New" w:eastAsia="Courier New" w:hAnsi="Courier New"/>
                <w:sz w:val="15"/>
                <w:szCs w:val="15"/>
                <w:color w:val="auto"/>
              </w:rPr>
              <w:t>Net proceeds from the issuance of stock</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972</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438</w:t>
            </w:r>
          </w:p>
        </w:tc>
      </w:tr>
      <w:tr>
        <w:trPr>
          <w:trHeight w:val="177"/>
        </w:trPr>
        <w:tc>
          <w:tcPr>
            <w:tcW w:w="6960" w:type="dxa"/>
            <w:vAlign w:val="bottom"/>
          </w:tcPr>
          <w:p>
            <w:pPr>
              <w:ind w:left="360"/>
              <w:spacing w:after="0"/>
              <w:rPr>
                <w:sz w:val="20"/>
                <w:szCs w:val="20"/>
                <w:color w:val="auto"/>
              </w:rPr>
            </w:pPr>
            <w:r>
              <w:rPr>
                <w:rFonts w:ascii="Courier New" w:cs="Courier New" w:eastAsia="Courier New" w:hAnsi="Courier New"/>
                <w:sz w:val="15"/>
                <w:szCs w:val="15"/>
                <w:color w:val="auto"/>
              </w:rPr>
              <w:t>Principal payments on note payable</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(48)</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(57)</w:t>
            </w:r>
          </w:p>
        </w:tc>
      </w:tr>
      <w:tr>
        <w:trPr>
          <w:trHeight w:val="177"/>
        </w:trPr>
        <w:tc>
          <w:tcPr>
            <w:tcW w:w="6960" w:type="dxa"/>
            <w:vAlign w:val="bottom"/>
          </w:tcPr>
          <w:p>
            <w:pPr>
              <w:ind w:left="360"/>
              <w:spacing w:after="0"/>
              <w:rPr>
                <w:sz w:val="20"/>
                <w:szCs w:val="20"/>
                <w:color w:val="auto"/>
              </w:rPr>
            </w:pPr>
            <w:r>
              <w:rPr>
                <w:rFonts w:ascii="Courier New" w:cs="Courier New" w:eastAsia="Courier New" w:hAnsi="Courier New"/>
                <w:sz w:val="15"/>
                <w:szCs w:val="15"/>
                <w:color w:val="auto"/>
              </w:rPr>
              <w:t>Capital lease payments</w:t>
            </w:r>
          </w:p>
        </w:tc>
        <w:tc>
          <w:tcPr>
            <w:tcW w:w="14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(782)</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(1,495)</w:t>
            </w:r>
          </w:p>
        </w:tc>
      </w:tr>
      <w:tr>
        <w:trPr>
          <w:trHeight w:val="177"/>
        </w:trPr>
        <w:tc>
          <w:tcPr>
            <w:tcW w:w="6960" w:type="dxa"/>
            <w:vAlign w:val="bottom"/>
          </w:tcPr>
          <w:p>
            <w:pPr>
              <w:spacing w:after="0"/>
              <w:rPr>
                <w:sz w:val="15"/>
                <w:szCs w:val="15"/>
                <w:color w:val="auto"/>
              </w:rPr>
            </w:pP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6960" w:type="dxa"/>
            <w:vAlign w:val="bottom"/>
          </w:tcPr>
          <w:p>
            <w:pPr>
              <w:ind w:left="1200"/>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142</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(1,114)</w:t>
            </w:r>
          </w:p>
        </w:tc>
      </w:tr>
      <w:tr>
        <w:trPr>
          <w:trHeight w:val="177"/>
        </w:trPr>
        <w:tc>
          <w:tcPr>
            <w:tcW w:w="6960" w:type="dxa"/>
            <w:vAlign w:val="bottom"/>
          </w:tcPr>
          <w:p>
            <w:pPr>
              <w:spacing w:after="0"/>
              <w:rPr>
                <w:sz w:val="15"/>
                <w:szCs w:val="15"/>
                <w:color w:val="auto"/>
              </w:rPr>
            </w:pP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355"/>
        </w:trPr>
        <w:tc>
          <w:tcPr>
            <w:tcW w:w="6960" w:type="dxa"/>
            <w:vAlign w:val="bottom"/>
          </w:tcPr>
          <w:p>
            <w:pPr>
              <w:ind w:left="1200"/>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3,768</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(6,327)</w:t>
            </w:r>
          </w:p>
        </w:tc>
      </w:tr>
      <w:tr>
        <w:trPr>
          <w:trHeight w:val="177"/>
        </w:trPr>
        <w:tc>
          <w:tcPr>
            <w:tcW w:w="6960" w:type="dxa"/>
            <w:vAlign w:val="bottom"/>
          </w:tcPr>
          <w:p>
            <w:pPr>
              <w:spacing w:after="0"/>
              <w:rPr>
                <w:sz w:val="15"/>
                <w:szCs w:val="15"/>
                <w:color w:val="auto"/>
              </w:rPr>
            </w:pP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355"/>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19,757</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28,921</w:t>
            </w:r>
          </w:p>
        </w:tc>
      </w:tr>
      <w:tr>
        <w:trPr>
          <w:trHeight w:val="177"/>
        </w:trPr>
        <w:tc>
          <w:tcPr>
            <w:tcW w:w="6960" w:type="dxa"/>
            <w:vAlign w:val="bottom"/>
          </w:tcPr>
          <w:p>
            <w:pPr>
              <w:spacing w:after="0"/>
              <w:rPr>
                <w:sz w:val="15"/>
                <w:szCs w:val="15"/>
                <w:color w:val="auto"/>
              </w:rPr>
            </w:pP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355"/>
        </w:trPr>
        <w:tc>
          <w:tcPr>
            <w:tcW w:w="6960" w:type="dxa"/>
            <w:vAlign w:val="bottom"/>
          </w:tcPr>
          <w:p>
            <w:pPr>
              <w:ind w:left="1200"/>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$23,525</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$22,594</w:t>
            </w:r>
          </w:p>
        </w:tc>
      </w:tr>
      <w:tr>
        <w:trPr>
          <w:trHeight w:val="177"/>
        </w:trPr>
        <w:tc>
          <w:tcPr>
            <w:tcW w:w="6960" w:type="dxa"/>
            <w:vAlign w:val="bottom"/>
          </w:tcPr>
          <w:p>
            <w:pPr>
              <w:spacing w:after="0"/>
              <w:rPr>
                <w:sz w:val="15"/>
                <w:szCs w:val="15"/>
                <w:color w:val="auto"/>
              </w:rPr>
            </w:pPr>
          </w:p>
        </w:tc>
        <w:tc>
          <w:tcPr>
            <w:tcW w:w="14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50" w:right="1440" w:bottom="1440" w:gutter="0" w:footer="0" w:header="0"/>
        </w:sectPr>
      </w:pPr>
    </w:p>
    <w:bookmarkStart w:id="6" w:name="page7"/>
    <w:bookmarkEnd w:id="6"/>
    <w:p>
      <w:pPr>
        <w:ind w:left="5"/>
        <w:spacing w:after="0"/>
        <w:rPr>
          <w:sz w:val="20"/>
          <w:szCs w:val="20"/>
          <w:color w:val="auto"/>
        </w:rPr>
      </w:pPr>
      <w:r>
        <w:rPr>
          <w:rFonts w:ascii="Courier New" w:cs="Courier New" w:eastAsia="Courier New" w:hAnsi="Courier New"/>
          <w:sz w:val="15"/>
          <w:szCs w:val="15"/>
          <w:color w:val="auto"/>
        </w:rPr>
        <w:t>REGENERON PHARMACEUTICALS, INC.</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85" w:lineRule="exact"/>
        <w:rPr>
          <w:sz w:val="20"/>
          <w:szCs w:val="20"/>
          <w:color w:val="auto"/>
        </w:rPr>
      </w:pPr>
    </w:p>
    <w:p>
      <w:pPr>
        <w:ind w:left="825" w:hanging="825"/>
        <w:spacing w:after="0"/>
        <w:tabs>
          <w:tab w:leader="none" w:pos="82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Interim Financial Statements</w:t>
      </w:r>
    </w:p>
    <w:p>
      <w:pPr>
        <w:spacing w:after="0" w:line="184" w:lineRule="exact"/>
        <w:rPr>
          <w:rFonts w:ascii="Courier New" w:cs="Courier New" w:eastAsia="Courier New" w:hAnsi="Courier New"/>
          <w:sz w:val="15"/>
          <w:szCs w:val="15"/>
          <w:color w:val="auto"/>
        </w:rPr>
      </w:pPr>
    </w:p>
    <w:p>
      <w:pPr>
        <w:ind w:left="825"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interim Condensed Financial Statements of Regeneron Pharmaceuticals, Inc.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generally accepted accounting principles. In the opinion of management, these financial statements reflect all adjustments, consisting only of normal recurring accruals, necessary for a fair presentation of the Company's financial position, results of operation, and cash flows for such periods. The results of operations for any interim periods are not necessarily indicative of the results for the full year. The December 31, 1998 Condensed Balance Sheet data was derived from audited financial statements, but does not include all disclosures required by generally accepted accounting principles. These financial statements should be read in conjunction with the financial statements and notes thereto contained in the Company's Annual Report on Form 10-K for the year ended December 31, 1998.</w:t>
      </w:r>
    </w:p>
    <w:p>
      <w:pPr>
        <w:spacing w:after="0" w:line="362"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Cash Flows</w:t>
      </w:r>
    </w:p>
    <w:p>
      <w:pPr>
        <w:spacing w:after="0" w:line="184"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disclosure of noncash investing and financing activities:</w:t>
      </w:r>
    </w:p>
    <w:p>
      <w:pPr>
        <w:spacing w:after="0" w:line="184" w:lineRule="exact"/>
        <w:rPr>
          <w:rFonts w:ascii="Courier New" w:cs="Courier New" w:eastAsia="Courier New" w:hAnsi="Courier New"/>
          <w:sz w:val="15"/>
          <w:szCs w:val="15"/>
          <w:color w:val="auto"/>
        </w:rPr>
      </w:pPr>
    </w:p>
    <w:p>
      <w:pPr>
        <w:ind w:left="82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accounts payable and accrued expenses at September 30, 1999 and December 31, 1998 were approximately $95 and $469, respectively, of accrued capital expenditures. Included in accounts payable and accrued expenses at September 30, 1998 and December 31, 1997 were approximately $67 and $635, respectively, of accrued capital expenditures.</w:t>
      </w:r>
    </w:p>
    <w:p>
      <w:pPr>
        <w:spacing w:after="0" w:line="176" w:lineRule="exact"/>
        <w:rPr>
          <w:rFonts w:ascii="Courier New" w:cs="Courier New" w:eastAsia="Courier New" w:hAnsi="Courier New"/>
          <w:sz w:val="15"/>
          <w:szCs w:val="15"/>
          <w:color w:val="auto"/>
        </w:rPr>
      </w:pPr>
    </w:p>
    <w:p>
      <w:pPr>
        <w:ind w:left="825"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accounts payable and accrued expenses at December 31, 1998 was approximately $308 of accrued Company 401(k) Savings Plan contribution expense. During January 1999 the Company contributed approximately thirty-eight thousand shares of Common Stock to the 401(k) Savings Plan in satisfaction of this obligation.</w:t>
      </w:r>
    </w:p>
    <w:p>
      <w:pPr>
        <w:spacing w:after="0" w:line="176" w:lineRule="exact"/>
        <w:rPr>
          <w:rFonts w:ascii="Courier New" w:cs="Courier New" w:eastAsia="Courier New" w:hAnsi="Courier New"/>
          <w:sz w:val="15"/>
          <w:szCs w:val="15"/>
          <w:color w:val="auto"/>
        </w:rPr>
      </w:pPr>
    </w:p>
    <w:p>
      <w:pPr>
        <w:ind w:left="825" w:right="301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Capital lease obligations of $451 were incurred during the first nine months of 1998 when the Company leased new equipment.</w:t>
      </w:r>
    </w:p>
    <w:p>
      <w:pPr>
        <w:spacing w:after="0" w:line="174" w:lineRule="exact"/>
        <w:rPr>
          <w:rFonts w:ascii="Courier New" w:cs="Courier New" w:eastAsia="Courier New" w:hAnsi="Courier New"/>
          <w:sz w:val="15"/>
          <w:szCs w:val="15"/>
          <w:color w:val="auto"/>
        </w:rPr>
      </w:pPr>
    </w:p>
    <w:p>
      <w:pPr>
        <w:ind w:left="825" w:hanging="825"/>
        <w:spacing w:after="0"/>
        <w:tabs>
          <w:tab w:leader="none" w:pos="82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w:t>
      </w:r>
    </w:p>
    <w:p>
      <w:pPr>
        <w:spacing w:after="0" w:line="184" w:lineRule="exact"/>
        <w:rPr>
          <w:rFonts w:ascii="Courier New" w:cs="Courier New" w:eastAsia="Courier New" w:hAnsi="Courier New"/>
          <w:sz w:val="15"/>
          <w:szCs w:val="15"/>
          <w:color w:val="auto"/>
        </w:rPr>
      </w:pPr>
    </w:p>
    <w:p>
      <w:pPr>
        <w:ind w:left="825" w:right="329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 as of September 30, 1999 and December 31, 1998 consist of the following:</w:t>
      </w:r>
    </w:p>
    <w:p>
      <w:pPr>
        <w:spacing w:after="0" w:line="174"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320" w:type="dxa"/>
            <w:vAlign w:val="bottom"/>
          </w:tcPr>
          <w:p>
            <w:pPr>
              <w:spacing w:after="0"/>
              <w:rPr>
                <w:sz w:val="14"/>
                <w:szCs w:val="14"/>
                <w:color w:val="auto"/>
              </w:rPr>
            </w:pPr>
          </w:p>
        </w:tc>
        <w:tc>
          <w:tcPr>
            <w:tcW w:w="22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September 30,</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7"/>
        </w:trPr>
        <w:tc>
          <w:tcPr>
            <w:tcW w:w="3320" w:type="dxa"/>
            <w:vAlign w:val="bottom"/>
          </w:tcPr>
          <w:p>
            <w:pPr>
              <w:spacing w:after="0"/>
              <w:rPr>
                <w:sz w:val="15"/>
                <w:szCs w:val="15"/>
                <w:color w:val="auto"/>
              </w:rPr>
            </w:pPr>
          </w:p>
        </w:tc>
        <w:tc>
          <w:tcPr>
            <w:tcW w:w="22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1999</w:t>
            </w:r>
          </w:p>
        </w:tc>
        <w:tc>
          <w:tcPr>
            <w:tcW w:w="16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1998</w:t>
            </w:r>
          </w:p>
        </w:tc>
      </w:tr>
      <w:tr>
        <w:trPr>
          <w:trHeight w:val="177"/>
        </w:trPr>
        <w:tc>
          <w:tcPr>
            <w:tcW w:w="3320" w:type="dxa"/>
            <w:vAlign w:val="bottom"/>
          </w:tcPr>
          <w:p>
            <w:pPr>
              <w:spacing w:after="0"/>
              <w:rPr>
                <w:sz w:val="15"/>
                <w:szCs w:val="15"/>
                <w:color w:val="auto"/>
              </w:rPr>
            </w:pPr>
          </w:p>
        </w:tc>
        <w:tc>
          <w:tcPr>
            <w:tcW w:w="22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222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$1,479</w:t>
            </w:r>
          </w:p>
        </w:tc>
        <w:tc>
          <w:tcPr>
            <w:tcW w:w="16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$2,223</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Accrued payroll and related costs</w:t>
            </w:r>
          </w:p>
        </w:tc>
        <w:tc>
          <w:tcPr>
            <w:tcW w:w="222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1,910</w:t>
            </w:r>
          </w:p>
        </w:tc>
        <w:tc>
          <w:tcPr>
            <w:tcW w:w="16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1,346</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Accrued clinical trial expense</w:t>
            </w:r>
          </w:p>
        </w:tc>
        <w:tc>
          <w:tcPr>
            <w:tcW w:w="222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300</w:t>
            </w:r>
          </w:p>
        </w:tc>
        <w:tc>
          <w:tcPr>
            <w:tcW w:w="16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1,336</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Accrued expenses, other</w:t>
            </w:r>
          </w:p>
        </w:tc>
        <w:tc>
          <w:tcPr>
            <w:tcW w:w="222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558</w:t>
            </w:r>
          </w:p>
        </w:tc>
        <w:tc>
          <w:tcPr>
            <w:tcW w:w="16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359</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222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284</w:t>
            </w:r>
          </w:p>
        </w:tc>
        <w:tc>
          <w:tcPr>
            <w:tcW w:w="16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287</w:t>
            </w:r>
          </w:p>
        </w:tc>
      </w:tr>
      <w:tr>
        <w:trPr>
          <w:trHeight w:val="177"/>
        </w:trPr>
        <w:tc>
          <w:tcPr>
            <w:tcW w:w="3320" w:type="dxa"/>
            <w:vAlign w:val="bottom"/>
          </w:tcPr>
          <w:p>
            <w:pPr>
              <w:spacing w:after="0"/>
              <w:rPr>
                <w:sz w:val="15"/>
                <w:szCs w:val="15"/>
                <w:color w:val="auto"/>
              </w:rPr>
            </w:pPr>
          </w:p>
        </w:tc>
        <w:tc>
          <w:tcPr>
            <w:tcW w:w="222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3320" w:type="dxa"/>
            <w:vAlign w:val="bottom"/>
          </w:tcPr>
          <w:p>
            <w:pPr>
              <w:spacing w:after="0"/>
              <w:rPr>
                <w:sz w:val="15"/>
                <w:szCs w:val="15"/>
                <w:color w:val="auto"/>
              </w:rPr>
            </w:pPr>
          </w:p>
        </w:tc>
        <w:tc>
          <w:tcPr>
            <w:tcW w:w="222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$4,531</w:t>
            </w:r>
          </w:p>
        </w:tc>
        <w:tc>
          <w:tcPr>
            <w:tcW w:w="16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$5,551</w:t>
            </w:r>
          </w:p>
        </w:tc>
      </w:tr>
      <w:tr>
        <w:trPr>
          <w:trHeight w:val="177"/>
        </w:trPr>
        <w:tc>
          <w:tcPr>
            <w:tcW w:w="3320" w:type="dxa"/>
            <w:vAlign w:val="bottom"/>
          </w:tcPr>
          <w:p>
            <w:pPr>
              <w:spacing w:after="0"/>
              <w:rPr>
                <w:sz w:val="15"/>
                <w:szCs w:val="15"/>
                <w:color w:val="auto"/>
              </w:rPr>
            </w:pPr>
          </w:p>
        </w:tc>
        <w:tc>
          <w:tcPr>
            <w:tcW w:w="222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355"/>
        </w:trPr>
        <w:tc>
          <w:tcPr>
            <w:tcW w:w="3320" w:type="dxa"/>
            <w:vAlign w:val="bottom"/>
          </w:tcPr>
          <w:p>
            <w:pPr>
              <w:spacing w:after="0"/>
              <w:rPr>
                <w:sz w:val="24"/>
                <w:szCs w:val="24"/>
                <w:color w:val="auto"/>
              </w:rPr>
            </w:pPr>
          </w:p>
        </w:tc>
        <w:tc>
          <w:tcPr>
            <w:tcW w:w="2220" w:type="dxa"/>
            <w:vAlign w:val="bottom"/>
          </w:tcPr>
          <w:p>
            <w:pPr>
              <w:jc w:val="right"/>
              <w:ind w:right="1783"/>
              <w:spacing w:after="0"/>
              <w:rPr>
                <w:sz w:val="20"/>
                <w:szCs w:val="20"/>
                <w:color w:val="auto"/>
              </w:rPr>
            </w:pPr>
            <w:r>
              <w:rPr>
                <w:rFonts w:ascii="Courier New" w:cs="Courier New" w:eastAsia="Courier New" w:hAnsi="Courier New"/>
                <w:sz w:val="15"/>
                <w:szCs w:val="15"/>
                <w:color w:val="auto"/>
              </w:rPr>
              <w:t>7</w:t>
            </w:r>
          </w:p>
        </w:tc>
        <w:tc>
          <w:tcPr>
            <w:tcW w:w="1660" w:type="dxa"/>
            <w:vAlign w:val="bottom"/>
          </w:tcPr>
          <w:p>
            <w:pPr>
              <w:spacing w:after="0"/>
              <w:rPr>
                <w:sz w:val="24"/>
                <w:szCs w:val="24"/>
                <w:color w:val="auto"/>
              </w:rPr>
            </w:pPr>
          </w:p>
        </w:tc>
      </w:tr>
    </w:tbl>
    <w:p>
      <w:pPr>
        <w:sectPr>
          <w:pgSz w:w="11900" w:h="16838" w:orient="portrait"/>
          <w:cols w:equalWidth="0" w:num="1">
            <w:col w:w="10225"/>
          </w:cols>
          <w:pgMar w:left="235" w:top="650" w:right="1440" w:bottom="1440" w:gutter="0" w:footer="0" w:header="0"/>
        </w:sectPr>
      </w:pPr>
    </w:p>
    <w:bookmarkStart w:id="7" w:name="page8"/>
    <w:bookmarkEnd w:id="7"/>
    <w:p>
      <w:pPr>
        <w:ind w:left="5"/>
        <w:spacing w:after="0"/>
        <w:rPr>
          <w:sz w:val="20"/>
          <w:szCs w:val="20"/>
          <w:color w:val="auto"/>
        </w:rPr>
      </w:pPr>
      <w:r>
        <w:rPr>
          <w:rFonts w:ascii="Courier New" w:cs="Courier New" w:eastAsia="Courier New" w:hAnsi="Courier New"/>
          <w:sz w:val="15"/>
          <w:szCs w:val="15"/>
          <w:color w:val="auto"/>
        </w:rPr>
        <w:t>REGENERON PHARMACEUTICALS, INC.</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85" w:lineRule="exact"/>
        <w:rPr>
          <w:sz w:val="20"/>
          <w:szCs w:val="20"/>
          <w:color w:val="auto"/>
        </w:rPr>
      </w:pPr>
    </w:p>
    <w:p>
      <w:pPr>
        <w:ind w:left="825" w:hanging="825"/>
        <w:spacing w:after="0"/>
        <w:tabs>
          <w:tab w:leader="none" w:pos="82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Amgen-Regeneron Partners Research Collaboration Agreement</w:t>
      </w:r>
    </w:p>
    <w:p>
      <w:pPr>
        <w:spacing w:after="0" w:line="184" w:lineRule="exact"/>
        <w:rPr>
          <w:rFonts w:ascii="Courier New" w:cs="Courier New" w:eastAsia="Courier New" w:hAnsi="Courier New"/>
          <w:sz w:val="15"/>
          <w:szCs w:val="15"/>
          <w:color w:val="auto"/>
        </w:rPr>
      </w:pPr>
    </w:p>
    <w:p>
      <w:pPr>
        <w:ind w:left="82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1990, the Company entered into a collaboration agreement with Amgen Inc. ("Amgen") to develop and attempt to commercialize BDNF and NT-3. Pursuant to that agreement, the Company and Amgen formed a partnership, Amgen-Regeneron Partners (the "Partnership"), whereby the revenues earned and expenses incurred by the Partnership for the research and development of BDNF and NT-3 are shared equally. The Company accounts for its investment in the Partnership in accordance with the equity method of accounting.</w:t>
      </w:r>
    </w:p>
    <w:p>
      <w:pPr>
        <w:spacing w:after="0" w:line="175" w:lineRule="exact"/>
        <w:rPr>
          <w:rFonts w:ascii="Courier New" w:cs="Courier New" w:eastAsia="Courier New" w:hAnsi="Courier New"/>
          <w:sz w:val="15"/>
          <w:szCs w:val="15"/>
          <w:color w:val="auto"/>
        </w:rPr>
      </w:pPr>
    </w:p>
    <w:p>
      <w:pPr>
        <w:ind w:left="825" w:right="293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Selected operating statement data of the Partnership for the three and nine months ended September 30, 1999 and 1998 are as follows:</w:t>
      </w:r>
    </w:p>
    <w:p>
      <w:pPr>
        <w:spacing w:after="0" w:line="174" w:lineRule="exact"/>
        <w:rPr>
          <w:sz w:val="20"/>
          <w:szCs w:val="20"/>
          <w:color w:val="auto"/>
        </w:rPr>
      </w:pPr>
    </w:p>
    <w:tbl>
      <w:tblPr>
        <w:tblLayout w:type="fixed"/>
        <w:tblInd w:w="825" w:type="dxa"/>
        <w:tblCellMar>
          <w:top w:w="0" w:type="dxa"/>
          <w:left w:w="0" w:type="dxa"/>
          <w:bottom w:w="0" w:type="dxa"/>
          <w:right w:w="0" w:type="dxa"/>
        </w:tblCellMar>
      </w:tblPr>
      <w:tr>
        <w:trPr>
          <w:trHeight w:val="172"/>
        </w:trPr>
        <w:tc>
          <w:tcPr>
            <w:tcW w:w="1580" w:type="dxa"/>
            <w:vAlign w:val="bottom"/>
          </w:tcPr>
          <w:p>
            <w:pPr>
              <w:spacing w:after="0"/>
              <w:rPr>
                <w:sz w:val="14"/>
                <w:szCs w:val="14"/>
                <w:color w:val="auto"/>
              </w:rPr>
            </w:pPr>
          </w:p>
        </w:tc>
        <w:tc>
          <w:tcPr>
            <w:tcW w:w="248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Three Months Ended</w:t>
            </w:r>
          </w:p>
        </w:tc>
        <w:tc>
          <w:tcPr>
            <w:tcW w:w="23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Nine Months Ended</w:t>
            </w:r>
          </w:p>
        </w:tc>
      </w:tr>
      <w:tr>
        <w:trPr>
          <w:trHeight w:val="177"/>
        </w:trPr>
        <w:tc>
          <w:tcPr>
            <w:tcW w:w="1580" w:type="dxa"/>
            <w:vAlign w:val="bottom"/>
          </w:tcPr>
          <w:p>
            <w:pPr>
              <w:spacing w:after="0"/>
              <w:rPr>
                <w:sz w:val="15"/>
                <w:szCs w:val="15"/>
                <w:color w:val="auto"/>
              </w:rPr>
            </w:pPr>
          </w:p>
        </w:tc>
        <w:tc>
          <w:tcPr>
            <w:tcW w:w="2480" w:type="dxa"/>
            <w:vAlign w:val="bottom"/>
            <w:gridSpan w:val="2"/>
          </w:tcPr>
          <w:p>
            <w:pPr>
              <w:jc w:val="right"/>
              <w:ind w:right="463"/>
              <w:spacing w:after="0"/>
              <w:rPr>
                <w:sz w:val="20"/>
                <w:szCs w:val="20"/>
                <w:color w:val="auto"/>
              </w:rPr>
            </w:pPr>
            <w:r>
              <w:rPr>
                <w:rFonts w:ascii="Courier New" w:cs="Courier New" w:eastAsia="Courier New" w:hAnsi="Courier New"/>
                <w:sz w:val="15"/>
                <w:szCs w:val="15"/>
                <w:color w:val="auto"/>
              </w:rPr>
              <w:t>September 30,</w:t>
            </w:r>
          </w:p>
        </w:tc>
        <w:tc>
          <w:tcPr>
            <w:tcW w:w="232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September 30,</w:t>
            </w:r>
          </w:p>
        </w:tc>
      </w:tr>
      <w:tr>
        <w:trPr>
          <w:trHeight w:val="177"/>
        </w:trPr>
        <w:tc>
          <w:tcPr>
            <w:tcW w:w="1580" w:type="dxa"/>
            <w:vAlign w:val="bottom"/>
          </w:tcPr>
          <w:p>
            <w:pPr>
              <w:spacing w:after="0"/>
              <w:rPr>
                <w:sz w:val="15"/>
                <w:szCs w:val="15"/>
                <w:color w:val="auto"/>
              </w:rPr>
            </w:pPr>
          </w:p>
        </w:tc>
        <w:tc>
          <w:tcPr>
            <w:tcW w:w="24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15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1999</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1998</w:t>
            </w:r>
          </w:p>
        </w:tc>
      </w:tr>
      <w:tr>
        <w:trPr>
          <w:trHeight w:val="177"/>
        </w:trPr>
        <w:tc>
          <w:tcPr>
            <w:tcW w:w="15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15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2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$89</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$110</w:t>
            </w:r>
          </w:p>
        </w:tc>
        <w:tc>
          <w:tcPr>
            <w:tcW w:w="12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$295</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$193</w:t>
            </w:r>
          </w:p>
        </w:tc>
      </w:tr>
      <w:tr>
        <w:trPr>
          <w:trHeight w:val="177"/>
        </w:trPr>
        <w:tc>
          <w:tcPr>
            <w:tcW w:w="1580" w:type="dxa"/>
            <w:vAlign w:val="bottom"/>
          </w:tcPr>
          <w:p>
            <w:pPr>
              <w:spacing w:after="0"/>
              <w:rPr>
                <w:sz w:val="20"/>
                <w:szCs w:val="20"/>
                <w:color w:val="auto"/>
              </w:rPr>
            </w:pPr>
            <w:r>
              <w:rPr>
                <w:rFonts w:ascii="Courier New" w:cs="Courier New" w:eastAsia="Courier New" w:hAnsi="Courier New"/>
                <w:sz w:val="15"/>
                <w:szCs w:val="15"/>
                <w:color w:val="auto"/>
              </w:rPr>
              <w:t>Total expenses</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(1,992)</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(1,465)</w:t>
            </w:r>
          </w:p>
        </w:tc>
        <w:tc>
          <w:tcPr>
            <w:tcW w:w="12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(5,312)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(3,294)</w:t>
            </w:r>
          </w:p>
        </w:tc>
      </w:tr>
      <w:tr>
        <w:trPr>
          <w:trHeight w:val="177"/>
        </w:trPr>
        <w:tc>
          <w:tcPr>
            <w:tcW w:w="15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15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($1,903)</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($1,355)</w:t>
            </w:r>
          </w:p>
        </w:tc>
        <w:tc>
          <w:tcPr>
            <w:tcW w:w="126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($5,017)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($3,101)</w:t>
            </w:r>
          </w:p>
        </w:tc>
      </w:tr>
      <w:tr>
        <w:trPr>
          <w:trHeight w:val="177"/>
        </w:trPr>
        <w:tc>
          <w:tcPr>
            <w:tcW w:w="15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825" w:hanging="825"/>
        <w:spacing w:after="0"/>
        <w:tabs>
          <w:tab w:leader="none" w:pos="82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Loss</w:t>
      </w:r>
    </w:p>
    <w:p>
      <w:pPr>
        <w:spacing w:after="0" w:line="184" w:lineRule="exact"/>
        <w:rPr>
          <w:rFonts w:ascii="Courier New" w:cs="Courier New" w:eastAsia="Courier New" w:hAnsi="Courier New"/>
          <w:sz w:val="15"/>
          <w:szCs w:val="15"/>
          <w:color w:val="auto"/>
        </w:rPr>
      </w:pPr>
    </w:p>
    <w:p>
      <w:pPr>
        <w:ind w:left="82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loss represents the change in net assets of a business enterprise during a period from transactions and other events and circumstances from non-owner sources. Comprehensive loss of the Company includes net loss adjusted for the change in net unrealized gain or loss on marketable securities. The net effect of income taxes on comprehensive loss is immaterial. The comprehensive loss for the nine months ended September 30, 1999 has been included in the Statement of Stockholders' Equity. For the nine months ended September 30, 1998, the components of comprehensive loss were:</w:t>
      </w:r>
    </w:p>
    <w:p>
      <w:pPr>
        <w:spacing w:after="0" w:line="175" w:lineRule="exact"/>
        <w:rPr>
          <w:sz w:val="20"/>
          <w:szCs w:val="20"/>
          <w:color w:val="auto"/>
        </w:rPr>
      </w:pPr>
    </w:p>
    <w:tbl>
      <w:tblPr>
        <w:tblLayout w:type="fixed"/>
        <w:tblInd w:w="825" w:type="dxa"/>
        <w:tblCellMar>
          <w:top w:w="0" w:type="dxa"/>
          <w:left w:w="0" w:type="dxa"/>
          <w:bottom w:w="0" w:type="dxa"/>
          <w:right w:w="0" w:type="dxa"/>
        </w:tblCellMar>
      </w:tblPr>
      <w:tr>
        <w:trPr>
          <w:trHeight w:val="172"/>
        </w:trPr>
        <w:tc>
          <w:tcPr>
            <w:tcW w:w="5180" w:type="dxa"/>
            <w:vAlign w:val="bottom"/>
          </w:tcPr>
          <w:p>
            <w:pPr>
              <w:spacing w:after="0"/>
              <w:rPr>
                <w:sz w:val="14"/>
                <w:szCs w:val="14"/>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1998</w:t>
            </w:r>
          </w:p>
        </w:tc>
      </w:tr>
      <w:tr>
        <w:trPr>
          <w:trHeight w:val="177"/>
        </w:trPr>
        <w:tc>
          <w:tcPr>
            <w:tcW w:w="518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($3,084)</w:t>
            </w:r>
          </w:p>
        </w:tc>
      </w:tr>
      <w:tr>
        <w:trPr>
          <w:trHeight w:val="177"/>
        </w:trPr>
        <w:tc>
          <w:tcPr>
            <w:tcW w:w="5180" w:type="dxa"/>
            <w:vAlign w:val="bottom"/>
          </w:tcPr>
          <w:p>
            <w:pPr>
              <w:spacing w:after="0"/>
              <w:rPr>
                <w:sz w:val="20"/>
                <w:szCs w:val="20"/>
                <w:color w:val="auto"/>
              </w:rPr>
            </w:pPr>
            <w:r>
              <w:rPr>
                <w:rFonts w:ascii="Courier New" w:cs="Courier New" w:eastAsia="Courier New" w:hAnsi="Courier New"/>
                <w:sz w:val="15"/>
                <w:szCs w:val="15"/>
                <w:color w:val="auto"/>
              </w:rPr>
              <w:t>Change in net unrealized gain on marketable securities</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332</w:t>
            </w:r>
          </w:p>
        </w:tc>
      </w:tr>
      <w:tr>
        <w:trPr>
          <w:trHeight w:val="177"/>
        </w:trPr>
        <w:tc>
          <w:tcPr>
            <w:tcW w:w="518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80" w:type="dxa"/>
            <w:vAlign w:val="bottom"/>
          </w:tcPr>
          <w:p>
            <w:pPr>
              <w:ind w:left="460"/>
              <w:spacing w:after="0"/>
              <w:rPr>
                <w:sz w:val="20"/>
                <w:szCs w:val="20"/>
                <w:color w:val="auto"/>
              </w:rPr>
            </w:pPr>
            <w:r>
              <w:rPr>
                <w:rFonts w:ascii="Courier New" w:cs="Courier New" w:eastAsia="Courier New" w:hAnsi="Courier New"/>
                <w:sz w:val="15"/>
                <w:szCs w:val="15"/>
                <w:color w:val="auto"/>
              </w:rPr>
              <w:t>Total comprehensive loss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($2,752)</w:t>
            </w:r>
          </w:p>
        </w:tc>
      </w:tr>
      <w:tr>
        <w:trPr>
          <w:trHeight w:val="177"/>
        </w:trPr>
        <w:tc>
          <w:tcPr>
            <w:tcW w:w="5180" w:type="dxa"/>
            <w:vAlign w:val="bottom"/>
          </w:tcPr>
          <w:p>
            <w:pPr>
              <w:spacing w:after="0"/>
              <w:rPr>
                <w:sz w:val="15"/>
                <w:szCs w:val="15"/>
                <w:color w:val="auto"/>
              </w:rPr>
            </w:pP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180" w:type="dxa"/>
            <w:vAlign w:val="bottom"/>
          </w:tcPr>
          <w:p>
            <w:pPr>
              <w:jc w:val="right"/>
              <w:ind w:right="2243"/>
              <w:spacing w:after="0"/>
              <w:rPr>
                <w:sz w:val="20"/>
                <w:szCs w:val="20"/>
                <w:color w:val="auto"/>
              </w:rPr>
            </w:pPr>
            <w:r>
              <w:rPr>
                <w:rFonts w:ascii="Courier New" w:cs="Courier New" w:eastAsia="Courier New" w:hAnsi="Courier New"/>
                <w:sz w:val="15"/>
                <w:szCs w:val="15"/>
                <w:color w:val="auto"/>
              </w:rPr>
              <w:t>8</w:t>
            </w:r>
          </w:p>
        </w:tc>
        <w:tc>
          <w:tcPr>
            <w:tcW w:w="920" w:type="dxa"/>
            <w:vAlign w:val="bottom"/>
          </w:tcPr>
          <w:p>
            <w:pPr>
              <w:spacing w:after="0"/>
              <w:rPr>
                <w:sz w:val="24"/>
                <w:szCs w:val="24"/>
                <w:color w:val="auto"/>
              </w:rPr>
            </w:pPr>
          </w:p>
        </w:tc>
      </w:tr>
    </w:tbl>
    <w:p>
      <w:pPr>
        <w:sectPr>
          <w:pgSz w:w="11900" w:h="16838" w:orient="portrait"/>
          <w:cols w:equalWidth="0" w:num="1">
            <w:col w:w="10225"/>
          </w:cols>
          <w:pgMar w:left="235" w:top="650" w:right="1440" w:bottom="1440" w:gutter="0" w:footer="0" w:header="0"/>
        </w:sectPr>
      </w:pPr>
    </w:p>
    <w:bookmarkStart w:id="8" w:name="page9"/>
    <w:bookmarkEnd w:id="8"/>
    <w:p>
      <w:pPr>
        <w:ind w:left="5"/>
        <w:spacing w:after="0"/>
        <w:rPr>
          <w:sz w:val="20"/>
          <w:szCs w:val="20"/>
          <w:color w:val="auto"/>
        </w:rPr>
      </w:pPr>
      <w:r>
        <w:rPr>
          <w:rFonts w:ascii="Courier New" w:cs="Courier New" w:eastAsia="Courier New" w:hAnsi="Courier New"/>
          <w:sz w:val="15"/>
          <w:szCs w:val="15"/>
          <w:color w:val="auto"/>
        </w:rPr>
        <w:t>REGENERON PHARMACEUTICALS, INC.</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85" w:lineRule="exact"/>
        <w:rPr>
          <w:sz w:val="20"/>
          <w:szCs w:val="20"/>
          <w:color w:val="auto"/>
        </w:rPr>
      </w:pPr>
    </w:p>
    <w:p>
      <w:pPr>
        <w:ind w:left="825" w:hanging="825"/>
        <w:spacing w:after="0"/>
        <w:tabs>
          <w:tab w:leader="none" w:pos="82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Data</w:t>
      </w:r>
    </w:p>
    <w:p>
      <w:pPr>
        <w:spacing w:after="0" w:line="184" w:lineRule="exact"/>
        <w:rPr>
          <w:rFonts w:ascii="Courier New" w:cs="Courier New" w:eastAsia="Courier New" w:hAnsi="Courier New"/>
          <w:sz w:val="15"/>
          <w:szCs w:val="15"/>
          <w:color w:val="auto"/>
        </w:rPr>
      </w:pPr>
    </w:p>
    <w:p>
      <w:pPr>
        <w:ind w:left="82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basic net loss per share amounts have been computed by dividing net loss by the weighted average number of Common and Class A shares outstanding. For the three months and nine months ended September 30, 1999 and 1998, the Company reported net losses; therefore, no common stock equivalents were included in the computation of diluted net loss per share, since such inclusion would have been antidilutive. The calculations of basic and diluted net loss per share are as follows:</w:t>
      </w:r>
    </w:p>
    <w:p>
      <w:pPr>
        <w:spacing w:after="0" w:line="353" w:lineRule="exact"/>
        <w:rPr>
          <w:sz w:val="20"/>
          <w:szCs w:val="20"/>
          <w:color w:val="auto"/>
        </w:rPr>
      </w:pPr>
    </w:p>
    <w:p>
      <w:pPr>
        <w:jc w:val="center"/>
        <w:ind w:right="1914"/>
        <w:spacing w:after="0"/>
        <w:rPr>
          <w:sz w:val="20"/>
          <w:szCs w:val="20"/>
          <w:color w:val="auto"/>
        </w:rPr>
      </w:pPr>
      <w:r>
        <w:rPr>
          <w:rFonts w:ascii="Courier New" w:cs="Courier New" w:eastAsia="Courier New" w:hAnsi="Courier New"/>
          <w:sz w:val="15"/>
          <w:szCs w:val="15"/>
          <w:color w:val="auto"/>
        </w:rPr>
        <w:t>Three Months Ended September 30,</w:t>
      </w:r>
    </w:p>
    <w:p>
      <w:pPr>
        <w:spacing w:after="0" w:line="8" w:lineRule="exact"/>
        <w:rPr>
          <w:sz w:val="20"/>
          <w:szCs w:val="20"/>
          <w:color w:val="auto"/>
        </w:rPr>
      </w:pPr>
    </w:p>
    <w:p>
      <w:pPr>
        <w:jc w:val="center"/>
        <w:ind w:right="1834"/>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845"/>
        <w:spacing w:after="0"/>
        <w:tabs>
          <w:tab w:leader="none" w:pos="820" w:val="left"/>
          <w:tab w:leader="none" w:pos="820" w:val="left"/>
        </w:tabs>
        <w:rPr>
          <w:sz w:val="20"/>
          <w:szCs w:val="20"/>
          <w:color w:val="auto"/>
        </w:rPr>
      </w:pPr>
      <w:r>
        <w:rPr>
          <w:rFonts w:ascii="Courier New" w:cs="Courier New" w:eastAsia="Courier New" w:hAnsi="Courier New"/>
          <w:sz w:val="15"/>
          <w:szCs w:val="15"/>
          <w:color w:val="auto"/>
        </w:rPr>
        <w:t>Net Loss</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Net Loss</w:t>
      </w:r>
    </w:p>
    <w:p>
      <w:pPr>
        <w:spacing w:after="0" w:line="8" w:lineRule="exact"/>
        <w:rPr>
          <w:sz w:val="20"/>
          <w:szCs w:val="20"/>
          <w:color w:val="auto"/>
        </w:rPr>
      </w:pPr>
    </w:p>
    <w:p>
      <w:pPr>
        <w:jc w:val="center"/>
        <w:ind w:right="-765"/>
        <w:spacing w:after="0"/>
        <w:tabs>
          <w:tab w:leader="none" w:pos="260" w:val="left"/>
          <w:tab w:leader="none" w:pos="440" w:val="left"/>
        </w:tabs>
        <w:rPr>
          <w:sz w:val="20"/>
          <w:szCs w:val="20"/>
          <w:color w:val="auto"/>
        </w:rPr>
      </w:pP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r>
        <w:rPr>
          <w:sz w:val="20"/>
          <w:szCs w:val="20"/>
          <w:color w:val="auto"/>
        </w:rPr>
        <w:tab/>
      </w:r>
      <w:r>
        <w:rPr>
          <w:rFonts w:ascii="Courier New" w:cs="Courier New" w:eastAsia="Courier New" w:hAnsi="Courier New"/>
          <w:sz w:val="15"/>
          <w:szCs w:val="15"/>
          <w:color w:val="auto"/>
        </w:rPr>
        <w:t>Per Share</w:t>
      </w:r>
    </w:p>
    <w:p>
      <w:pPr>
        <w:spacing w:after="0" w:line="8" w:lineRule="exact"/>
        <w:rPr>
          <w:sz w:val="20"/>
          <w:szCs w:val="20"/>
          <w:color w:val="auto"/>
        </w:rPr>
      </w:pPr>
    </w:p>
    <w:p>
      <w:pPr>
        <w:jc w:val="center"/>
        <w:ind w:right="-765"/>
        <w:spacing w:after="0"/>
        <w:tabs>
          <w:tab w:leader="none" w:pos="260" w:val="left"/>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1999:</w:t>
      </w:r>
    </w:p>
    <w:p>
      <w:pPr>
        <w:sectPr>
          <w:pgSz w:w="11900" w:h="16838" w:orient="portrait"/>
          <w:cols w:equalWidth="0" w:num="1">
            <w:col w:w="10225"/>
          </w:cols>
          <w:pgMar w:left="235" w:top="650" w:right="1440" w:bottom="1440" w:gutter="0" w:footer="0" w:header="0"/>
        </w:sectPr>
      </w:pPr>
    </w:p>
    <w:p>
      <w:pPr>
        <w:spacing w:after="0" w:line="8" w:lineRule="exact"/>
        <w:rPr>
          <w:sz w:val="20"/>
          <w:szCs w:val="20"/>
          <w:color w:val="auto"/>
        </w:rPr>
      </w:pPr>
    </w:p>
    <w:p>
      <w:pPr>
        <w:ind w:left="1385"/>
        <w:spacing w:after="0"/>
        <w:rPr>
          <w:sz w:val="20"/>
          <w:szCs w:val="20"/>
          <w:color w:val="auto"/>
        </w:rPr>
      </w:pPr>
      <w:r>
        <w:rPr>
          <w:rFonts w:ascii="Courier New" w:cs="Courier New" w:eastAsia="Courier New" w:hAnsi="Courier New"/>
          <w:sz w:val="15"/>
          <w:szCs w:val="15"/>
          <w:color w:val="auto"/>
        </w:rPr>
        <w:t>Basic and Diluted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($4,925)</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Courier New" w:cs="Courier New" w:eastAsia="Courier New" w:hAnsi="Courier New"/>
          <w:sz w:val="15"/>
          <w:szCs w:val="15"/>
          <w:color w:val="auto"/>
        </w:rPr>
        <w:t>31,314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($0.16)</w:t>
      </w:r>
    </w:p>
    <w:p>
      <w:pPr>
        <w:spacing w:after="0" w:line="185" w:lineRule="exact"/>
        <w:rPr>
          <w:sz w:val="20"/>
          <w:szCs w:val="20"/>
          <w:color w:val="auto"/>
        </w:rPr>
      </w:pPr>
    </w:p>
    <w:p>
      <w:pPr>
        <w:sectPr>
          <w:pgSz w:w="11900" w:h="16838" w:orient="portrait"/>
          <w:cols w:equalWidth="0" w:num="4">
            <w:col w:w="2965" w:space="720"/>
            <w:col w:w="860" w:space="720"/>
            <w:col w:w="660" w:space="720"/>
            <w:col w:w="3579"/>
          </w:cols>
          <w:pgMar w:left="235" w:top="650" w:right="1440" w:bottom="1440" w:gutter="0" w:footer="0" w:header="0"/>
          <w:type w:val="continuous"/>
        </w:sectPr>
      </w:pPr>
    </w:p>
    <w:p>
      <w:pPr>
        <w:ind w:left="1005"/>
        <w:spacing w:after="0"/>
        <w:rPr>
          <w:sz w:val="20"/>
          <w:szCs w:val="20"/>
          <w:color w:val="auto"/>
        </w:rPr>
      </w:pPr>
      <w:r>
        <w:rPr>
          <w:rFonts w:ascii="Courier New" w:cs="Courier New" w:eastAsia="Courier New" w:hAnsi="Courier New"/>
          <w:sz w:val="15"/>
          <w:szCs w:val="15"/>
          <w:color w:val="auto"/>
        </w:rPr>
        <w:t>1998:</w:t>
      </w:r>
    </w:p>
    <w:p>
      <w:pPr>
        <w:spacing w:after="0" w:line="8" w:lineRule="exact"/>
        <w:rPr>
          <w:sz w:val="20"/>
          <w:szCs w:val="20"/>
          <w:color w:val="auto"/>
        </w:rPr>
      </w:pPr>
    </w:p>
    <w:p>
      <w:pPr>
        <w:ind w:left="1385"/>
        <w:spacing w:after="0"/>
        <w:tabs>
          <w:tab w:leader="none" w:pos="3665" w:val="left"/>
          <w:tab w:leader="none" w:pos="5245" w:val="left"/>
          <w:tab w:leader="none" w:pos="6625" w:val="left"/>
        </w:tabs>
        <w:rPr>
          <w:sz w:val="20"/>
          <w:szCs w:val="20"/>
          <w:color w:val="auto"/>
        </w:rPr>
      </w:pPr>
      <w:r>
        <w:rPr>
          <w:rFonts w:ascii="Courier New" w:cs="Courier New" w:eastAsia="Courier New" w:hAnsi="Courier New"/>
          <w:sz w:val="15"/>
          <w:szCs w:val="15"/>
          <w:color w:val="auto"/>
        </w:rPr>
        <w:t>Basic and Diluted</w:t>
      </w:r>
      <w:r>
        <w:rPr>
          <w:sz w:val="20"/>
          <w:szCs w:val="20"/>
          <w:color w:val="auto"/>
        </w:rPr>
        <w:tab/>
      </w:r>
      <w:r>
        <w:rPr>
          <w:rFonts w:ascii="Courier New" w:cs="Courier New" w:eastAsia="Courier New" w:hAnsi="Courier New"/>
          <w:sz w:val="15"/>
          <w:szCs w:val="15"/>
          <w:color w:val="auto"/>
        </w:rPr>
        <w:t>($1,395)</w:t>
      </w:r>
      <w:r>
        <w:rPr>
          <w:sz w:val="20"/>
          <w:szCs w:val="20"/>
          <w:color w:val="auto"/>
        </w:rPr>
        <w:tab/>
      </w:r>
      <w:r>
        <w:rPr>
          <w:rFonts w:ascii="Courier New" w:cs="Courier New" w:eastAsia="Courier New" w:hAnsi="Courier New"/>
          <w:sz w:val="15"/>
          <w:szCs w:val="15"/>
          <w:color w:val="auto"/>
        </w:rPr>
        <w:t>31,014</w:t>
      </w:r>
      <w:r>
        <w:rPr>
          <w:sz w:val="20"/>
          <w:szCs w:val="20"/>
          <w:color w:val="auto"/>
        </w:rPr>
        <w:tab/>
      </w:r>
      <w:r>
        <w:rPr>
          <w:rFonts w:ascii="Courier New" w:cs="Courier New" w:eastAsia="Courier New" w:hAnsi="Courier New"/>
          <w:sz w:val="15"/>
          <w:szCs w:val="15"/>
          <w:color w:val="auto"/>
        </w:rPr>
        <w:t>($0.04)</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825" w:right="2839"/>
        <w:spacing w:after="0" w:line="252" w:lineRule="auto"/>
        <w:rPr>
          <w:sz w:val="20"/>
          <w:szCs w:val="20"/>
          <w:color w:val="auto"/>
        </w:rPr>
      </w:pPr>
      <w:r>
        <w:rPr>
          <w:rFonts w:ascii="Courier New" w:cs="Courier New" w:eastAsia="Courier New" w:hAnsi="Courier New"/>
          <w:sz w:val="15"/>
          <w:szCs w:val="15"/>
          <w:color w:val="auto"/>
        </w:rPr>
        <w:t>Options and warrants which have been excluded from the diluted per share amounts because their effect would have been antidilutive include the following:</w:t>
      </w:r>
    </w:p>
    <w:p>
      <w:pPr>
        <w:spacing w:after="0" w:line="200" w:lineRule="exact"/>
        <w:rPr>
          <w:sz w:val="20"/>
          <w:szCs w:val="20"/>
          <w:color w:val="auto"/>
        </w:rPr>
      </w:pPr>
    </w:p>
    <w:p>
      <w:pPr>
        <w:spacing w:after="0" w:line="329" w:lineRule="exact"/>
        <w:rPr>
          <w:sz w:val="20"/>
          <w:szCs w:val="20"/>
          <w:color w:val="auto"/>
        </w:rPr>
      </w:pPr>
    </w:p>
    <w:p>
      <w:pPr>
        <w:ind w:left="5805"/>
        <w:spacing w:after="0"/>
        <w:rPr>
          <w:sz w:val="20"/>
          <w:szCs w:val="20"/>
          <w:color w:val="auto"/>
        </w:rPr>
      </w:pPr>
      <w:r>
        <w:rPr>
          <w:rFonts w:ascii="Courier New" w:cs="Courier New" w:eastAsia="Courier New" w:hAnsi="Courier New"/>
          <w:sz w:val="15"/>
          <w:szCs w:val="15"/>
          <w:color w:val="auto"/>
        </w:rPr>
        <w:t>Three Months Ended September 30,</w:t>
      </w:r>
    </w:p>
    <w:p>
      <w:pPr>
        <w:sectPr>
          <w:pgSz w:w="11900" w:h="16838" w:orient="portrait"/>
          <w:cols w:equalWidth="0" w:num="1">
            <w:col w:w="10225"/>
          </w:cols>
          <w:pgMar w:left="235" w:top="650" w:right="1440" w:bottom="1440" w:gutter="0" w:footer="0" w:header="0"/>
          <w:type w:val="continuous"/>
        </w:sectPr>
      </w:pP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545"/>
        <w:spacing w:after="0"/>
        <w:tabs>
          <w:tab w:leader="none" w:pos="8465"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8" w:lineRule="exact"/>
        <w:rPr>
          <w:sz w:val="20"/>
          <w:szCs w:val="20"/>
          <w:color w:val="auto"/>
        </w:rPr>
      </w:pPr>
    </w:p>
    <w:p>
      <w:pPr>
        <w:ind w:left="4525"/>
        <w:spacing w:after="0"/>
        <w:tabs>
          <w:tab w:leader="none" w:pos="744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ind w:left="4525"/>
        <w:spacing w:after="0"/>
        <w:tabs>
          <w:tab w:leader="none" w:pos="5885" w:val="left"/>
          <w:tab w:leader="none" w:pos="7545" w:val="left"/>
          <w:tab w:leader="none" w:pos="8925" w:val="left"/>
        </w:tabs>
        <w:rPr>
          <w:sz w:val="20"/>
          <w:szCs w:val="20"/>
          <w:color w:val="auto"/>
        </w:rPr>
      </w:pP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p>
    <w:p>
      <w:pPr>
        <w:spacing w:after="0" w:line="8" w:lineRule="exact"/>
        <w:rPr>
          <w:sz w:val="20"/>
          <w:szCs w:val="20"/>
          <w:color w:val="auto"/>
        </w:rPr>
      </w:pPr>
    </w:p>
    <w:p>
      <w:pPr>
        <w:ind w:left="4525"/>
        <w:spacing w:after="0"/>
        <w:tabs>
          <w:tab w:leader="none" w:pos="5885" w:val="left"/>
          <w:tab w:leader="none" w:pos="7545" w:val="left"/>
          <w:tab w:leader="none" w:pos="8925"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p>
    <w:p>
      <w:pPr>
        <w:spacing w:after="0" w:line="8" w:lineRule="exact"/>
        <w:rPr>
          <w:sz w:val="20"/>
          <w:szCs w:val="20"/>
          <w:color w:val="auto"/>
        </w:rPr>
      </w:pPr>
    </w:p>
    <w:p>
      <w:pPr>
        <w:ind w:left="4605"/>
        <w:spacing w:after="0"/>
        <w:tabs>
          <w:tab w:leader="none" w:pos="5605" w:val="left"/>
          <w:tab w:leader="none" w:pos="7645" w:val="left"/>
          <w:tab w:leader="none" w:pos="8745"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Exercise Price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Exercise Price</w:t>
      </w:r>
    </w:p>
    <w:p>
      <w:pPr>
        <w:spacing w:after="0" w:line="8" w:lineRule="exact"/>
        <w:rPr>
          <w:sz w:val="20"/>
          <w:szCs w:val="20"/>
          <w:color w:val="auto"/>
        </w:rPr>
      </w:pPr>
    </w:p>
    <w:p>
      <w:pPr>
        <w:ind w:left="4605"/>
        <w:spacing w:after="0"/>
        <w:tabs>
          <w:tab w:leader="none" w:pos="5605" w:val="left"/>
          <w:tab w:leader="none" w:pos="7645" w:val="left"/>
          <w:tab w:leader="none" w:pos="874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Options with exercise prices below</w:t>
      </w: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the average fair market value of</w:t>
      </w: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the Company's common stock for the</w:t>
      </w:r>
    </w:p>
    <w:p>
      <w:pPr>
        <w:sectPr>
          <w:pgSz w:w="11900" w:h="16838" w:orient="portrait"/>
          <w:cols w:equalWidth="0" w:num="1">
            <w:col w:w="10225"/>
          </w:cols>
          <w:pgMar w:left="235" w:top="650" w:right="1440" w:bottom="1440" w:gutter="0" w:footer="0" w:header="0"/>
          <w:type w:val="continuous"/>
        </w:sectPr>
      </w:pP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respective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$4.70</w:t>
      </w:r>
    </w:p>
    <w:p>
      <w:pPr>
        <w:spacing w:after="0" w:line="185" w:lineRule="exact"/>
        <w:rPr>
          <w:sz w:val="20"/>
          <w:szCs w:val="20"/>
          <w:color w:val="auto"/>
        </w:rPr>
      </w:pPr>
    </w:p>
    <w:p>
      <w:pPr>
        <w:sectPr>
          <w:pgSz w:w="11900" w:h="16838" w:orient="portrait"/>
          <w:cols w:equalWidth="0" w:num="5">
            <w:col w:w="4085" w:space="720"/>
            <w:col w:w="660" w:space="720"/>
            <w:col w:w="940" w:space="720"/>
            <w:col w:w="560" w:space="720"/>
            <w:col w:w="1099"/>
          </w:cols>
          <w:pgMar w:left="235" w:top="650" w:right="1440" w:bottom="1440" w:gutter="0" w:footer="0" w:header="0"/>
          <w:type w:val="continuous"/>
        </w:sectPr>
      </w:pPr>
    </w:p>
    <w:p>
      <w:pPr>
        <w:ind w:left="825"/>
        <w:spacing w:after="0"/>
        <w:rPr>
          <w:sz w:val="20"/>
          <w:szCs w:val="20"/>
          <w:color w:val="auto"/>
        </w:rPr>
      </w:pPr>
      <w:r>
        <w:rPr>
          <w:rFonts w:ascii="Courier New" w:cs="Courier New" w:eastAsia="Courier New" w:hAnsi="Courier New"/>
          <w:sz w:val="15"/>
          <w:szCs w:val="15"/>
          <w:color w:val="auto"/>
        </w:rPr>
        <w:t>Options and warrants with exercise</w:t>
      </w: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prices above the average fair</w:t>
      </w: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market value of the Company's</w:t>
      </w:r>
    </w:p>
    <w:p>
      <w:pPr>
        <w:sectPr>
          <w:pgSz w:w="11900" w:h="16838" w:orient="portrait"/>
          <w:cols w:equalWidth="0" w:num="1">
            <w:col w:w="10225"/>
          </w:cols>
          <w:pgMar w:left="235" w:top="650" w:right="1440" w:bottom="1440" w:gutter="0" w:footer="0" w:header="0"/>
          <w:type w:val="continuous"/>
        </w:sectPr>
      </w:pPr>
    </w:p>
    <w:p>
      <w:pPr>
        <w:spacing w:after="0" w:line="8" w:lineRule="exact"/>
        <w:rPr>
          <w:sz w:val="20"/>
          <w:szCs w:val="20"/>
          <w:color w:val="auto"/>
        </w:rPr>
      </w:pPr>
    </w:p>
    <w:p>
      <w:pPr>
        <w:ind w:left="825" w:right="400"/>
        <w:spacing w:after="0" w:line="253" w:lineRule="auto"/>
        <w:rPr>
          <w:sz w:val="20"/>
          <w:szCs w:val="20"/>
          <w:color w:val="auto"/>
        </w:rPr>
      </w:pPr>
      <w:r>
        <w:rPr>
          <w:rFonts w:ascii="Courier New" w:cs="Courier New" w:eastAsia="Courier New" w:hAnsi="Courier New"/>
          <w:sz w:val="15"/>
          <w:szCs w:val="15"/>
          <w:color w:val="auto"/>
        </w:rPr>
        <w:t>common stock for the respective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4,403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$11.67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4,592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$11.60</w:t>
      </w:r>
    </w:p>
    <w:p>
      <w:pPr>
        <w:spacing w:after="0" w:line="362" w:lineRule="exact"/>
        <w:rPr>
          <w:sz w:val="20"/>
          <w:szCs w:val="20"/>
          <w:color w:val="auto"/>
        </w:rPr>
      </w:pPr>
    </w:p>
    <w:p>
      <w:pPr>
        <w:sectPr>
          <w:pgSz w:w="11900" w:h="16838" w:orient="portrait"/>
          <w:cols w:equalWidth="0" w:num="5">
            <w:col w:w="4085" w:space="720"/>
            <w:col w:w="560" w:space="720"/>
            <w:col w:w="1040" w:space="720"/>
            <w:col w:w="480" w:space="720"/>
            <w:col w:w="1179"/>
          </w:cols>
          <w:pgMar w:left="235" w:top="650" w:right="1440" w:bottom="1440" w:gutter="0" w:footer="0" w:header="0"/>
          <w:type w:val="continuous"/>
        </w:sectPr>
      </w:pPr>
    </w:p>
    <w:p>
      <w:pPr>
        <w:jc w:val="both"/>
        <w:ind w:left="4805" w:right="1919" w:hanging="3139"/>
        <w:spacing w:after="0" w:line="250" w:lineRule="auto"/>
        <w:tabs>
          <w:tab w:leader="none" w:pos="4785"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7,166                            6,490 =====                            =====</w:t>
      </w:r>
    </w:p>
    <w:p>
      <w:pPr>
        <w:sectPr>
          <w:pgSz w:w="11900" w:h="16838" w:orient="portrait"/>
          <w:cols w:equalWidth="0" w:num="1">
            <w:col w:w="10225"/>
          </w:cols>
          <w:pgMar w:left="235" w:top="650" w:right="1440" w:bottom="1440" w:gutter="0" w:footer="0" w:header="0"/>
          <w:type w:val="continuous"/>
        </w:sectPr>
      </w:pPr>
    </w:p>
    <w:p>
      <w:pPr>
        <w:spacing w:after="0" w:line="1"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5" w:top="650" w:right="1440" w:bottom="1440" w:gutter="0" w:footer="0" w:header="0"/>
          <w:type w:val="continuous"/>
        </w:sectPr>
      </w:pPr>
    </w:p>
    <w:bookmarkStart w:id="9" w:name="page10"/>
    <w:bookmarkEnd w:id="9"/>
    <w:p>
      <w:pPr>
        <w:ind w:left="5"/>
        <w:spacing w:after="0"/>
        <w:rPr>
          <w:sz w:val="20"/>
          <w:szCs w:val="20"/>
          <w:color w:val="auto"/>
        </w:rPr>
      </w:pPr>
      <w:r>
        <w:rPr>
          <w:rFonts w:ascii="Courier New" w:cs="Courier New" w:eastAsia="Courier New" w:hAnsi="Courier New"/>
          <w:sz w:val="15"/>
          <w:szCs w:val="15"/>
          <w:color w:val="auto"/>
        </w:rPr>
        <w:t>REGENERON PHARMACEUTICALS, INC.</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85" w:lineRule="exact"/>
        <w:rPr>
          <w:sz w:val="20"/>
          <w:szCs w:val="20"/>
          <w:color w:val="auto"/>
        </w:rPr>
      </w:pPr>
    </w:p>
    <w:p>
      <w:pPr>
        <w:ind w:left="825" w:hanging="825"/>
        <w:spacing w:after="0"/>
        <w:tabs>
          <w:tab w:leader="none" w:pos="82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Data (continued)</w:t>
      </w:r>
    </w:p>
    <w:p>
      <w:pPr>
        <w:spacing w:after="0" w:line="185"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Nine Months Ended September 30,</w:t>
      </w: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505"/>
        <w:spacing w:after="0"/>
        <w:tabs>
          <w:tab w:leader="none" w:pos="5045" w:val="left"/>
          <w:tab w:leader="none" w:pos="6345" w:val="left"/>
        </w:tabs>
        <w:rPr>
          <w:sz w:val="20"/>
          <w:szCs w:val="20"/>
          <w:color w:val="auto"/>
        </w:rPr>
      </w:pPr>
      <w:r>
        <w:rPr>
          <w:rFonts w:ascii="Courier New" w:cs="Courier New" w:eastAsia="Courier New" w:hAnsi="Courier New"/>
          <w:sz w:val="15"/>
          <w:szCs w:val="15"/>
          <w:color w:val="auto"/>
        </w:rPr>
        <w:t>Net Loss</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Per Share</w:t>
      </w:r>
    </w:p>
    <w:p>
      <w:pPr>
        <w:spacing w:after="0" w:line="8" w:lineRule="exact"/>
        <w:rPr>
          <w:sz w:val="20"/>
          <w:szCs w:val="20"/>
          <w:color w:val="auto"/>
        </w:rPr>
      </w:pPr>
    </w:p>
    <w:p>
      <w:pPr>
        <w:ind w:left="3405"/>
        <w:spacing w:after="0"/>
        <w:tabs>
          <w:tab w:leader="none" w:pos="4685" w:val="left"/>
          <w:tab w:leader="none" w:pos="6525" w:val="left"/>
        </w:tabs>
        <w:rPr>
          <w:sz w:val="20"/>
          <w:szCs w:val="20"/>
          <w:color w:val="auto"/>
        </w:rPr>
      </w:pP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r>
        <w:rPr>
          <w:sz w:val="20"/>
          <w:szCs w:val="20"/>
          <w:color w:val="auto"/>
        </w:rPr>
        <w:tab/>
      </w:r>
      <w:r>
        <w:rPr>
          <w:rFonts w:ascii="Courier New" w:cs="Courier New" w:eastAsia="Courier New" w:hAnsi="Courier New"/>
          <w:sz w:val="15"/>
          <w:szCs w:val="15"/>
          <w:color w:val="auto"/>
        </w:rPr>
        <w:t>Amount</w:t>
      </w:r>
    </w:p>
    <w:p>
      <w:pPr>
        <w:spacing w:after="0" w:line="8" w:lineRule="exact"/>
        <w:rPr>
          <w:sz w:val="20"/>
          <w:szCs w:val="20"/>
          <w:color w:val="auto"/>
        </w:rPr>
      </w:pPr>
    </w:p>
    <w:p>
      <w:pPr>
        <w:ind w:left="3405"/>
        <w:spacing w:after="0"/>
        <w:tabs>
          <w:tab w:leader="none" w:pos="4685" w:val="left"/>
          <w:tab w:leader="none" w:pos="652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1999:</w:t>
      </w:r>
    </w:p>
    <w:p>
      <w:pPr>
        <w:sectPr>
          <w:pgSz w:w="11900" w:h="16838" w:orient="portrait"/>
          <w:cols w:equalWidth="0" w:num="1">
            <w:col w:w="10225"/>
          </w:cols>
          <w:pgMar w:left="235" w:top="650" w:right="1440" w:bottom="1440" w:gutter="0" w:footer="0" w:header="0"/>
        </w:sectPr>
      </w:pPr>
    </w:p>
    <w:p>
      <w:pPr>
        <w:spacing w:after="0" w:line="8" w:lineRule="exact"/>
        <w:rPr>
          <w:sz w:val="20"/>
          <w:szCs w:val="20"/>
          <w:color w:val="auto"/>
        </w:rPr>
      </w:pPr>
    </w:p>
    <w:p>
      <w:pPr>
        <w:ind w:left="1205"/>
        <w:spacing w:after="0"/>
        <w:rPr>
          <w:sz w:val="20"/>
          <w:szCs w:val="20"/>
          <w:color w:val="auto"/>
        </w:rPr>
      </w:pPr>
      <w:r>
        <w:rPr>
          <w:rFonts w:ascii="Courier New" w:cs="Courier New" w:eastAsia="Courier New" w:hAnsi="Courier New"/>
          <w:sz w:val="15"/>
          <w:szCs w:val="15"/>
          <w:color w:val="auto"/>
        </w:rPr>
        <w:t>Basic and Diluted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($21,688)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31,297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($0.69)</w:t>
      </w:r>
    </w:p>
    <w:p>
      <w:pPr>
        <w:spacing w:after="0" w:line="185" w:lineRule="exact"/>
        <w:rPr>
          <w:sz w:val="20"/>
          <w:szCs w:val="20"/>
          <w:color w:val="auto"/>
        </w:rPr>
      </w:pPr>
    </w:p>
    <w:p>
      <w:pPr>
        <w:sectPr>
          <w:pgSz w:w="11900" w:h="16838" w:orient="portrait"/>
          <w:cols w:equalWidth="0" w:num="4">
            <w:col w:w="2785" w:space="720"/>
            <w:col w:w="840" w:space="720"/>
            <w:col w:w="760" w:space="720"/>
            <w:col w:w="3679"/>
          </w:cols>
          <w:pgMar w:left="235" w:top="650" w:right="1440" w:bottom="1440" w:gutter="0" w:footer="0" w:header="0"/>
          <w:type w:val="continuous"/>
        </w:sectPr>
      </w:pPr>
    </w:p>
    <w:p>
      <w:pPr>
        <w:ind w:left="825"/>
        <w:spacing w:after="0"/>
        <w:rPr>
          <w:sz w:val="20"/>
          <w:szCs w:val="20"/>
          <w:color w:val="auto"/>
        </w:rPr>
      </w:pPr>
      <w:r>
        <w:rPr>
          <w:rFonts w:ascii="Courier New" w:cs="Courier New" w:eastAsia="Courier New" w:hAnsi="Courier New"/>
          <w:sz w:val="15"/>
          <w:szCs w:val="15"/>
          <w:color w:val="auto"/>
        </w:rPr>
        <w:t>1998:</w:t>
      </w:r>
    </w:p>
    <w:p>
      <w:pPr>
        <w:spacing w:after="0" w:line="8" w:lineRule="exact"/>
        <w:rPr>
          <w:sz w:val="20"/>
          <w:szCs w:val="20"/>
          <w:color w:val="auto"/>
        </w:rPr>
      </w:pPr>
    </w:p>
    <w:p>
      <w:pPr>
        <w:ind w:left="1205"/>
        <w:spacing w:after="0"/>
        <w:tabs>
          <w:tab w:leader="none" w:pos="3585" w:val="left"/>
          <w:tab w:leader="none" w:pos="5045" w:val="left"/>
          <w:tab w:leader="none" w:pos="6525" w:val="left"/>
        </w:tabs>
        <w:rPr>
          <w:sz w:val="20"/>
          <w:szCs w:val="20"/>
          <w:color w:val="auto"/>
        </w:rPr>
      </w:pPr>
      <w:r>
        <w:rPr>
          <w:rFonts w:ascii="Courier New" w:cs="Courier New" w:eastAsia="Courier New" w:hAnsi="Courier New"/>
          <w:sz w:val="15"/>
          <w:szCs w:val="15"/>
          <w:color w:val="auto"/>
        </w:rPr>
        <w:t>Basic and Diluted</w:t>
      </w:r>
      <w:r>
        <w:rPr>
          <w:sz w:val="20"/>
          <w:szCs w:val="20"/>
          <w:color w:val="auto"/>
        </w:rPr>
        <w:tab/>
      </w:r>
      <w:r>
        <w:rPr>
          <w:rFonts w:ascii="Courier New" w:cs="Courier New" w:eastAsia="Courier New" w:hAnsi="Courier New"/>
          <w:sz w:val="15"/>
          <w:szCs w:val="15"/>
          <w:color w:val="auto"/>
        </w:rPr>
        <w:t>($3,084)</w:t>
      </w:r>
      <w:r>
        <w:rPr>
          <w:sz w:val="20"/>
          <w:szCs w:val="20"/>
          <w:color w:val="auto"/>
        </w:rPr>
        <w:tab/>
      </w:r>
      <w:r>
        <w:rPr>
          <w:rFonts w:ascii="Courier New" w:cs="Courier New" w:eastAsia="Courier New" w:hAnsi="Courier New"/>
          <w:sz w:val="15"/>
          <w:szCs w:val="15"/>
          <w:color w:val="auto"/>
        </w:rPr>
        <w:t>30,983</w:t>
      </w:r>
      <w:r>
        <w:rPr>
          <w:sz w:val="20"/>
          <w:szCs w:val="20"/>
          <w:color w:val="auto"/>
        </w:rPr>
        <w:tab/>
      </w:r>
      <w:r>
        <w:rPr>
          <w:rFonts w:ascii="Courier New" w:cs="Courier New" w:eastAsia="Courier New" w:hAnsi="Courier New"/>
          <w:sz w:val="15"/>
          <w:szCs w:val="15"/>
          <w:color w:val="auto"/>
        </w:rPr>
        <w:t>($0.10)</w:t>
      </w: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825" w:right="2839"/>
        <w:spacing w:after="0" w:line="252" w:lineRule="auto"/>
        <w:rPr>
          <w:sz w:val="20"/>
          <w:szCs w:val="20"/>
          <w:color w:val="auto"/>
        </w:rPr>
      </w:pPr>
      <w:r>
        <w:rPr>
          <w:rFonts w:ascii="Courier New" w:cs="Courier New" w:eastAsia="Courier New" w:hAnsi="Courier New"/>
          <w:sz w:val="15"/>
          <w:szCs w:val="15"/>
          <w:color w:val="auto"/>
        </w:rPr>
        <w:t>Options and warrants which have been excluded from the diluted per share amounts because their effect would have been antidilutive include the following:</w:t>
      </w:r>
    </w:p>
    <w:p>
      <w:pPr>
        <w:spacing w:after="0" w:line="200" w:lineRule="exact"/>
        <w:rPr>
          <w:sz w:val="20"/>
          <w:szCs w:val="20"/>
          <w:color w:val="auto"/>
        </w:rPr>
      </w:pPr>
    </w:p>
    <w:p>
      <w:pPr>
        <w:spacing w:after="0" w:line="329" w:lineRule="exact"/>
        <w:rPr>
          <w:sz w:val="20"/>
          <w:szCs w:val="20"/>
          <w:color w:val="auto"/>
        </w:rPr>
      </w:pPr>
    </w:p>
    <w:p>
      <w:pPr>
        <w:ind w:left="5545"/>
        <w:spacing w:after="0"/>
        <w:rPr>
          <w:sz w:val="20"/>
          <w:szCs w:val="20"/>
          <w:color w:val="auto"/>
        </w:rPr>
      </w:pPr>
      <w:r>
        <w:rPr>
          <w:rFonts w:ascii="Courier New" w:cs="Courier New" w:eastAsia="Courier New" w:hAnsi="Courier New"/>
          <w:sz w:val="15"/>
          <w:szCs w:val="15"/>
          <w:color w:val="auto"/>
        </w:rPr>
        <w:t>Nine Months Ended September 30,</w:t>
      </w:r>
    </w:p>
    <w:p>
      <w:pPr>
        <w:sectPr>
          <w:pgSz w:w="11900" w:h="16838" w:orient="portrait"/>
          <w:cols w:equalWidth="0" w:num="1">
            <w:col w:w="10225"/>
          </w:cols>
          <w:pgMar w:left="235" w:top="650" w:right="1440" w:bottom="1440" w:gutter="0" w:footer="0" w:header="0"/>
          <w:type w:val="continuous"/>
        </w:sectPr>
      </w:pP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tbl>
      <w:tblPr>
        <w:tblLayout w:type="fixed"/>
        <w:tblInd w:w="825" w:type="dxa"/>
        <w:tblCellMar>
          <w:top w:w="0" w:type="dxa"/>
          <w:left w:w="0" w:type="dxa"/>
          <w:bottom w:w="0" w:type="dxa"/>
          <w:right w:w="0" w:type="dxa"/>
        </w:tblCellMar>
      </w:tblPr>
      <w:tr>
        <w:trPr>
          <w:trHeight w:val="172"/>
        </w:trPr>
        <w:tc>
          <w:tcPr>
            <w:tcW w:w="3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60" w:type="dxa"/>
            <w:vAlign w:val="bottom"/>
          </w:tcPr>
          <w:p>
            <w:pPr>
              <w:jc w:val="right"/>
              <w:ind w:right="1223"/>
              <w:spacing w:after="0"/>
              <w:rPr>
                <w:sz w:val="20"/>
                <w:szCs w:val="20"/>
                <w:color w:val="auto"/>
              </w:rPr>
            </w:pPr>
            <w:r>
              <w:rPr>
                <w:rFonts w:ascii="Courier New" w:cs="Courier New" w:eastAsia="Courier New" w:hAnsi="Courier New"/>
                <w:sz w:val="15"/>
                <w:szCs w:val="15"/>
                <w:color w:val="auto"/>
                <w:w w:val="94"/>
              </w:rPr>
              <w:t>1999</w:t>
            </w:r>
          </w:p>
        </w:tc>
        <w:tc>
          <w:tcPr>
            <w:tcW w:w="1200" w:type="dxa"/>
            <w:vAlign w:val="bottom"/>
          </w:tcPr>
          <w:p>
            <w:pPr>
              <w:spacing w:after="0"/>
              <w:rPr>
                <w:sz w:val="14"/>
                <w:szCs w:val="14"/>
                <w:color w:val="auto"/>
              </w:rPr>
            </w:pPr>
          </w:p>
        </w:tc>
        <w:tc>
          <w:tcPr>
            <w:tcW w:w="174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1998</w:t>
            </w:r>
          </w:p>
        </w:tc>
      </w:tr>
      <w:tr>
        <w:trPr>
          <w:trHeight w:val="177"/>
        </w:trPr>
        <w:tc>
          <w:tcPr>
            <w:tcW w:w="3420" w:type="dxa"/>
            <w:vAlign w:val="bottom"/>
          </w:tcPr>
          <w:p>
            <w:pPr>
              <w:spacing w:after="0"/>
              <w:rPr>
                <w:sz w:val="15"/>
                <w:szCs w:val="15"/>
                <w:color w:val="auto"/>
              </w:rPr>
            </w:pPr>
          </w:p>
        </w:tc>
        <w:tc>
          <w:tcPr>
            <w:tcW w:w="26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42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Weighted</w:t>
            </w:r>
          </w:p>
        </w:tc>
        <w:tc>
          <w:tcPr>
            <w:tcW w:w="1660" w:type="dxa"/>
            <w:vAlign w:val="bottom"/>
          </w:tcPr>
          <w:p>
            <w:pPr>
              <w:ind w:left="460"/>
              <w:spacing w:after="0"/>
              <w:rPr>
                <w:sz w:val="20"/>
                <w:szCs w:val="20"/>
                <w:color w:val="auto"/>
              </w:rPr>
            </w:pPr>
            <w:r>
              <w:rPr>
                <w:rFonts w:ascii="Courier New" w:cs="Courier New" w:eastAsia="Courier New" w:hAnsi="Courier New"/>
                <w:sz w:val="15"/>
                <w:szCs w:val="15"/>
                <w:color w:val="auto"/>
              </w:rPr>
              <w:t>Weighted</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Weighted</w:t>
            </w:r>
          </w:p>
        </w:tc>
        <w:tc>
          <w:tcPr>
            <w:tcW w:w="1740" w:type="dxa"/>
            <w:vAlign w:val="bottom"/>
          </w:tcPr>
          <w:p>
            <w:pPr>
              <w:ind w:left="640"/>
              <w:spacing w:after="0"/>
              <w:rPr>
                <w:sz w:val="20"/>
                <w:szCs w:val="20"/>
                <w:color w:val="auto"/>
              </w:rPr>
            </w:pPr>
            <w:r>
              <w:rPr>
                <w:rFonts w:ascii="Courier New" w:cs="Courier New" w:eastAsia="Courier New" w:hAnsi="Courier New"/>
                <w:sz w:val="15"/>
                <w:szCs w:val="15"/>
                <w:color w:val="auto"/>
              </w:rPr>
              <w:t>Weighted</w:t>
            </w:r>
          </w:p>
        </w:tc>
      </w:tr>
      <w:tr>
        <w:trPr>
          <w:trHeight w:val="177"/>
        </w:trPr>
        <w:tc>
          <w:tcPr>
            <w:tcW w:w="34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Average</w:t>
            </w:r>
          </w:p>
        </w:tc>
        <w:tc>
          <w:tcPr>
            <w:tcW w:w="1660" w:type="dxa"/>
            <w:vAlign w:val="bottom"/>
          </w:tcPr>
          <w:p>
            <w:pPr>
              <w:ind w:left="460"/>
              <w:spacing w:after="0"/>
              <w:rPr>
                <w:sz w:val="20"/>
                <w:szCs w:val="20"/>
                <w:color w:val="auto"/>
              </w:rPr>
            </w:pPr>
            <w:r>
              <w:rPr>
                <w:rFonts w:ascii="Courier New" w:cs="Courier New" w:eastAsia="Courier New" w:hAnsi="Courier New"/>
                <w:sz w:val="15"/>
                <w:szCs w:val="15"/>
                <w:color w:val="auto"/>
              </w:rPr>
              <w:t>Average</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Average</w:t>
            </w:r>
          </w:p>
        </w:tc>
        <w:tc>
          <w:tcPr>
            <w:tcW w:w="1740" w:type="dxa"/>
            <w:vAlign w:val="bottom"/>
          </w:tcPr>
          <w:p>
            <w:pPr>
              <w:ind w:left="640"/>
              <w:spacing w:after="0"/>
              <w:rPr>
                <w:sz w:val="20"/>
                <w:szCs w:val="20"/>
                <w:color w:val="auto"/>
              </w:rPr>
            </w:pPr>
            <w:r>
              <w:rPr>
                <w:rFonts w:ascii="Courier New" w:cs="Courier New" w:eastAsia="Courier New" w:hAnsi="Courier New"/>
                <w:sz w:val="15"/>
                <w:szCs w:val="15"/>
                <w:color w:val="auto"/>
              </w:rPr>
              <w:t>Average</w:t>
            </w:r>
          </w:p>
        </w:tc>
      </w:tr>
      <w:tr>
        <w:trPr>
          <w:trHeight w:val="177"/>
        </w:trPr>
        <w:tc>
          <w:tcPr>
            <w:tcW w:w="34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Number</w:t>
            </w:r>
          </w:p>
        </w:tc>
        <w:tc>
          <w:tcPr>
            <w:tcW w:w="16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Exercise Price</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Number</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Exercise Price</w:t>
            </w:r>
          </w:p>
        </w:tc>
      </w:tr>
      <w:tr>
        <w:trPr>
          <w:trHeight w:val="177"/>
        </w:trPr>
        <w:tc>
          <w:tcPr>
            <w:tcW w:w="34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3420" w:type="dxa"/>
            <w:vAlign w:val="bottom"/>
          </w:tcPr>
          <w:p>
            <w:pPr>
              <w:spacing w:after="0"/>
              <w:rPr>
                <w:sz w:val="20"/>
                <w:szCs w:val="20"/>
                <w:color w:val="auto"/>
              </w:rPr>
            </w:pPr>
            <w:r>
              <w:rPr>
                <w:rFonts w:ascii="Courier New" w:cs="Courier New" w:eastAsia="Courier New" w:hAnsi="Courier New"/>
                <w:sz w:val="15"/>
                <w:szCs w:val="15"/>
                <w:color w:val="auto"/>
              </w:rPr>
              <w:t>Options  with exercise  prices</w:t>
            </w:r>
          </w:p>
        </w:tc>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77"/>
        </w:trPr>
        <w:tc>
          <w:tcPr>
            <w:tcW w:w="3420" w:type="dxa"/>
            <w:vAlign w:val="bottom"/>
          </w:tcPr>
          <w:p>
            <w:pPr>
              <w:spacing w:after="0"/>
              <w:rPr>
                <w:sz w:val="20"/>
                <w:szCs w:val="20"/>
                <w:color w:val="auto"/>
              </w:rPr>
            </w:pPr>
            <w:r>
              <w:rPr>
                <w:rFonts w:ascii="Courier New" w:cs="Courier New" w:eastAsia="Courier New" w:hAnsi="Courier New"/>
                <w:sz w:val="15"/>
                <w:szCs w:val="15"/>
                <w:color w:val="auto"/>
              </w:rPr>
              <w:t>below the average fair market</w:t>
            </w:r>
          </w:p>
        </w:tc>
        <w:tc>
          <w:tcPr>
            <w:tcW w:w="10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77"/>
        </w:trPr>
        <w:tc>
          <w:tcPr>
            <w:tcW w:w="3420" w:type="dxa"/>
            <w:vAlign w:val="bottom"/>
          </w:tcPr>
          <w:p>
            <w:pPr>
              <w:spacing w:after="0"/>
              <w:rPr>
                <w:sz w:val="20"/>
                <w:szCs w:val="20"/>
                <w:color w:val="auto"/>
              </w:rPr>
            </w:pPr>
            <w:r>
              <w:rPr>
                <w:rFonts w:ascii="Courier New" w:cs="Courier New" w:eastAsia="Courier New" w:hAnsi="Courier New"/>
                <w:sz w:val="15"/>
                <w:szCs w:val="15"/>
                <w:color w:val="auto"/>
              </w:rPr>
              <w:t>value of the Company's common</w:t>
            </w:r>
          </w:p>
        </w:tc>
        <w:tc>
          <w:tcPr>
            <w:tcW w:w="10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77"/>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stock for the respective</w:t>
            </w:r>
          </w:p>
        </w:tc>
        <w:tc>
          <w:tcPr>
            <w:tcW w:w="10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77"/>
        </w:trPr>
        <w:tc>
          <w:tcPr>
            <w:tcW w:w="342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2,449</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$5.73</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1,968</w:t>
            </w:r>
          </w:p>
        </w:tc>
        <w:tc>
          <w:tcPr>
            <w:tcW w:w="17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$4.77</w:t>
            </w:r>
          </w:p>
        </w:tc>
      </w:tr>
      <w:tr>
        <w:trPr>
          <w:trHeight w:val="355"/>
        </w:trPr>
        <w:tc>
          <w:tcPr>
            <w:tcW w:w="3420" w:type="dxa"/>
            <w:vAlign w:val="bottom"/>
          </w:tcPr>
          <w:p>
            <w:pPr>
              <w:spacing w:after="0"/>
              <w:rPr>
                <w:sz w:val="20"/>
                <w:szCs w:val="20"/>
                <w:color w:val="auto"/>
              </w:rPr>
            </w:pPr>
            <w:r>
              <w:rPr>
                <w:rFonts w:ascii="Courier New" w:cs="Courier New" w:eastAsia="Courier New" w:hAnsi="Courier New"/>
                <w:sz w:val="15"/>
                <w:szCs w:val="15"/>
                <w:color w:val="auto"/>
              </w:rPr>
              <w:t>Options and warrants with exercise</w:t>
            </w:r>
          </w:p>
        </w:tc>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77"/>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prices above the average fair market</w:t>
            </w:r>
          </w:p>
        </w:tc>
        <w:tc>
          <w:tcPr>
            <w:tcW w:w="10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77"/>
        </w:trPr>
        <w:tc>
          <w:tcPr>
            <w:tcW w:w="3420" w:type="dxa"/>
            <w:vAlign w:val="bottom"/>
          </w:tcPr>
          <w:p>
            <w:pPr>
              <w:spacing w:after="0"/>
              <w:rPr>
                <w:sz w:val="20"/>
                <w:szCs w:val="20"/>
                <w:color w:val="auto"/>
              </w:rPr>
            </w:pPr>
            <w:r>
              <w:rPr>
                <w:rFonts w:ascii="Courier New" w:cs="Courier New" w:eastAsia="Courier New" w:hAnsi="Courier New"/>
                <w:sz w:val="15"/>
                <w:szCs w:val="15"/>
                <w:color w:val="auto"/>
              </w:rPr>
              <w:t>value of the Company's common stock</w:t>
            </w:r>
          </w:p>
        </w:tc>
        <w:tc>
          <w:tcPr>
            <w:tcW w:w="10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77"/>
        </w:trPr>
        <w:tc>
          <w:tcPr>
            <w:tcW w:w="3420" w:type="dxa"/>
            <w:vAlign w:val="bottom"/>
          </w:tcPr>
          <w:p>
            <w:pPr>
              <w:spacing w:after="0"/>
              <w:rPr>
                <w:sz w:val="20"/>
                <w:szCs w:val="20"/>
                <w:color w:val="auto"/>
              </w:rPr>
            </w:pPr>
            <w:r>
              <w:rPr>
                <w:rFonts w:ascii="Courier New" w:cs="Courier New" w:eastAsia="Courier New" w:hAnsi="Courier New"/>
                <w:sz w:val="15"/>
                <w:szCs w:val="15"/>
                <w:color w:val="auto"/>
              </w:rPr>
              <w:t>for the respective period</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4,640</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$11.46</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4,458</w:t>
            </w:r>
          </w:p>
        </w:tc>
        <w:tc>
          <w:tcPr>
            <w:tcW w:w="17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$11.71</w:t>
            </w:r>
          </w:p>
        </w:tc>
      </w:tr>
      <w:tr>
        <w:trPr>
          <w:trHeight w:val="177"/>
        </w:trPr>
        <w:tc>
          <w:tcPr>
            <w:tcW w:w="34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5"/>
                <w:szCs w:val="15"/>
                <w:color w:val="auto"/>
              </w:rPr>
            </w:pPr>
          </w:p>
        </w:tc>
      </w:tr>
      <w:tr>
        <w:trPr>
          <w:trHeight w:val="177"/>
        </w:trPr>
        <w:tc>
          <w:tcPr>
            <w:tcW w:w="3420" w:type="dxa"/>
            <w:vAlign w:val="bottom"/>
          </w:tcPr>
          <w:p>
            <w:pPr>
              <w:ind w:left="840"/>
              <w:spacing w:after="0"/>
              <w:rPr>
                <w:sz w:val="20"/>
                <w:szCs w:val="20"/>
                <w:color w:val="auto"/>
              </w:rPr>
            </w:pPr>
            <w:r>
              <w:rPr>
                <w:rFonts w:ascii="Courier New" w:cs="Courier New" w:eastAsia="Courier New" w:hAnsi="Courier New"/>
                <w:sz w:val="15"/>
                <w:szCs w:val="15"/>
                <w:color w:val="auto"/>
              </w:rPr>
              <w:t>Total</w:t>
            </w: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7,089</w:t>
            </w:r>
          </w:p>
        </w:tc>
        <w:tc>
          <w:tcPr>
            <w:tcW w:w="166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6,426</w:t>
            </w:r>
          </w:p>
        </w:tc>
        <w:tc>
          <w:tcPr>
            <w:tcW w:w="1740" w:type="dxa"/>
            <w:vAlign w:val="bottom"/>
          </w:tcPr>
          <w:p>
            <w:pPr>
              <w:spacing w:after="0"/>
              <w:rPr>
                <w:sz w:val="15"/>
                <w:szCs w:val="15"/>
                <w:color w:val="auto"/>
              </w:rPr>
            </w:pPr>
          </w:p>
        </w:tc>
      </w:tr>
      <w:tr>
        <w:trPr>
          <w:trHeight w:val="177"/>
        </w:trPr>
        <w:tc>
          <w:tcPr>
            <w:tcW w:w="3420" w:type="dxa"/>
            <w:vAlign w:val="bottom"/>
          </w:tcPr>
          <w:p>
            <w:pPr>
              <w:spacing w:after="0"/>
              <w:rPr>
                <w:sz w:val="15"/>
                <w:szCs w:val="15"/>
                <w:color w:val="auto"/>
              </w:rPr>
            </w:pPr>
          </w:p>
        </w:tc>
        <w:tc>
          <w:tcPr>
            <w:tcW w:w="10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5"/>
                <w:szCs w:val="15"/>
                <w:color w:val="auto"/>
              </w:rPr>
            </w:pPr>
          </w:p>
        </w:tc>
      </w:tr>
    </w:tbl>
    <w:p>
      <w:pPr>
        <w:spacing w:after="0" w:line="5"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825" w:hanging="825"/>
        <w:spacing w:after="0"/>
        <w:tabs>
          <w:tab w:leader="none" w:pos="82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Incentive Plan</w:t>
      </w:r>
    </w:p>
    <w:p>
      <w:pPr>
        <w:spacing w:after="0" w:line="184" w:lineRule="exact"/>
        <w:rPr>
          <w:rFonts w:ascii="Courier New" w:cs="Courier New" w:eastAsia="Courier New" w:hAnsi="Courier New"/>
          <w:sz w:val="15"/>
          <w:szCs w:val="15"/>
          <w:color w:val="auto"/>
        </w:rPr>
      </w:pPr>
    </w:p>
    <w:p>
      <w:pPr>
        <w:ind w:left="82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1999, the Regeneron Pharmaceuticals, Inc. Amended and Restated 1990 Long-Term Incentive Plan ("Incentive Plan") was amended to increase by 1,500 the number of shares reserved for issuance under the plan. As amended, the Incentive Plan provides for a maximum of 6,900 shares of Common Stock for awards. Such awards include Restricted Share Rights, Incentive Stock Rights, Stock Options, Stock Appreciation Rights, and Performance Unit Rights, as defined.</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5"/>
          </w:cols>
          <w:pgMar w:left="235" w:top="650" w:right="1440" w:bottom="1440" w:gutter="0" w:footer="0" w:header="0"/>
          <w:type w:val="continuous"/>
        </w:sectPr>
      </w:pPr>
    </w:p>
    <w:bookmarkStart w:id="10" w:name="page11"/>
    <w:bookmarkEnd w:id="10"/>
    <w:p>
      <w:pPr>
        <w:ind w:left="740" w:right="2939" w:hanging="737"/>
        <w:spacing w:after="0" w:line="253"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Overview. The discussion below contains forward-looking statements that involve risks and uncertainties relating to the future financial performance of Regeneron Pharmaceuticals, Inc. and actual events or results may differ materially. These statements concern, among other things, the possible therapeutic applications of Regeneron's product candidates and research programs, the timing and nature of the clinical and research programs now underway or planned, a variety of items described herein and in the footnotes to Regeneron's financial statements (including the useful life of assets, the anticipated length of agreements, and other matters), and the future uses of capital and financial needs of Regeneron. These statements are made by Regeneron based on management's current beliefs and judgment. In evaluating such statements, stockholders and potential investors should specifically consider the various factors identified under the caption "Factors That May Affect Future Operating Results" which could cause actual results to differ materially from those indicated by such forward-looking statements.</w:t>
      </w:r>
    </w:p>
    <w:p>
      <w:pPr>
        <w:spacing w:after="0" w:line="18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Regeneron is a leader in the application of molecular and cell biology to discover novel potential therapeutics for human medical conditions and is seeking to develop and commercialize these discoveries. The Company is applying its technological expertise in protein growth factors, their receptors, and their mechanisms of action to the discovery and development of drugs, primarily protein-based.</w:t>
      </w:r>
    </w:p>
    <w:p>
      <w:pPr>
        <w:spacing w:after="0" w:line="176" w:lineRule="exact"/>
        <w:rPr>
          <w:sz w:val="20"/>
          <w:szCs w:val="20"/>
          <w:color w:val="auto"/>
        </w:rPr>
      </w:pPr>
    </w:p>
    <w:p>
      <w:pPr>
        <w:ind w:right="3219" w:firstLine="830"/>
        <w:spacing w:after="0" w:line="253" w:lineRule="auto"/>
        <w:rPr>
          <w:sz w:val="20"/>
          <w:szCs w:val="20"/>
          <w:color w:val="auto"/>
        </w:rPr>
      </w:pPr>
      <w:r>
        <w:rPr>
          <w:rFonts w:ascii="Courier New" w:cs="Courier New" w:eastAsia="Courier New" w:hAnsi="Courier New"/>
          <w:sz w:val="15"/>
          <w:szCs w:val="15"/>
          <w:color w:val="auto"/>
        </w:rPr>
        <w:t>The Company is pursuing research and development programs in a wide variety of scientific areas, including:</w:t>
      </w:r>
    </w:p>
    <w:p>
      <w:pPr>
        <w:spacing w:after="0" w:line="174" w:lineRule="exact"/>
        <w:rPr>
          <w:sz w:val="20"/>
          <w:szCs w:val="20"/>
          <w:color w:val="auto"/>
        </w:rPr>
      </w:pPr>
    </w:p>
    <w:p>
      <w:pPr>
        <w:jc w:val="both"/>
        <w:ind w:left="1100" w:right="3119" w:hanging="275"/>
        <w:spacing w:after="0" w:line="252" w:lineRule="auto"/>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AXOKINE(Registered) second generation ciliary neurotrophic factor for the treatment of obesity and complications of obesity such as Type II diabetes,</w:t>
      </w:r>
    </w:p>
    <w:p>
      <w:pPr>
        <w:spacing w:after="0" w:line="174" w:lineRule="exact"/>
        <w:rPr>
          <w:rFonts w:ascii="Courier New" w:cs="Courier New" w:eastAsia="Courier New" w:hAnsi="Courier New"/>
          <w:sz w:val="15"/>
          <w:szCs w:val="15"/>
          <w:color w:val="auto"/>
        </w:rPr>
      </w:pPr>
    </w:p>
    <w:p>
      <w:pPr>
        <w:ind w:left="1100" w:right="3219" w:hanging="275"/>
        <w:spacing w:after="0" w:line="252" w:lineRule="auto"/>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Brain-derived neurotrophic factor, or BDNF, for the treatment of amyotrophic lateral sclerosis, or ALS, commonly known as Lou Gehrig's disease,</w:t>
      </w:r>
    </w:p>
    <w:p>
      <w:pPr>
        <w:spacing w:after="0" w:line="174" w:lineRule="exact"/>
        <w:rPr>
          <w:rFonts w:ascii="Courier New" w:cs="Courier New" w:eastAsia="Courier New" w:hAnsi="Courier New"/>
          <w:sz w:val="15"/>
          <w:szCs w:val="15"/>
          <w:color w:val="auto"/>
        </w:rPr>
      </w:pPr>
    </w:p>
    <w:p>
      <w:pPr>
        <w:ind w:left="1100" w:right="3759" w:hanging="275"/>
        <w:spacing w:after="0" w:line="253" w:lineRule="auto"/>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Neurotrophin-3, or NT-3, for the treatment of constipating conditions,</w:t>
      </w:r>
    </w:p>
    <w:p>
      <w:pPr>
        <w:spacing w:after="0" w:line="174" w:lineRule="exact"/>
        <w:rPr>
          <w:rFonts w:ascii="Courier New" w:cs="Courier New" w:eastAsia="Courier New" w:hAnsi="Courier New"/>
          <w:sz w:val="15"/>
          <w:szCs w:val="15"/>
          <w:color w:val="auto"/>
        </w:rPr>
      </w:pPr>
    </w:p>
    <w:p>
      <w:pPr>
        <w:ind w:left="1100" w:right="2839" w:hanging="275"/>
        <w:spacing w:after="0" w:line="251" w:lineRule="auto"/>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Angiogenesis, including stimulating blood vessel growth in settings where more blood flow is desired and blocking blood vessel growth in abnormal conditions such as cancer. The angiogenesis program is based, in part, on Regeneron's discovery of Angiopoietins, a new family of ligands (and their receptors, called the TIE family of receptors) that appears to regulate blood vessel formation,</w:t>
      </w:r>
    </w:p>
    <w:p>
      <w:pPr>
        <w:spacing w:after="0" w:line="175" w:lineRule="exact"/>
        <w:rPr>
          <w:rFonts w:ascii="Courier New" w:cs="Courier New" w:eastAsia="Courier New" w:hAnsi="Courier New"/>
          <w:sz w:val="15"/>
          <w:szCs w:val="15"/>
          <w:color w:val="auto"/>
        </w:rPr>
      </w:pPr>
    </w:p>
    <w:p>
      <w:pPr>
        <w:ind w:left="1100" w:right="3299" w:hanging="275"/>
        <w:spacing w:after="0" w:line="251" w:lineRule="auto"/>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Protein antagonists for cytokines such as interleukin-1 (called IL-1), interleukin-4 (IL-4), interleukin-13 (IL-13), and interleukin-6 (IL-6) as potential treatment of inflammatory diseases, allergic disorders, and cancer, and</w:t>
      </w:r>
    </w:p>
    <w:p>
      <w:pPr>
        <w:spacing w:after="0" w:line="176" w:lineRule="exact"/>
        <w:rPr>
          <w:rFonts w:ascii="Courier New" w:cs="Courier New" w:eastAsia="Courier New" w:hAnsi="Courier New"/>
          <w:sz w:val="15"/>
          <w:szCs w:val="15"/>
          <w:color w:val="auto"/>
        </w:rPr>
      </w:pPr>
    </w:p>
    <w:p>
      <w:pPr>
        <w:ind w:left="1100" w:right="3479" w:hanging="275"/>
        <w:spacing w:after="0" w:line="253" w:lineRule="auto"/>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Muscle atrophy, using a variety of approaches to identify and validate drug targets.</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50" w:right="1440" w:bottom="1440" w:gutter="0" w:footer="0" w:header="0"/>
        </w:sectPr>
      </w:pPr>
    </w:p>
    <w:bookmarkStart w:id="11" w:name="page12"/>
    <w:bookmarkEnd w:id="11"/>
    <w:p>
      <w:pPr>
        <w:ind w:left="5" w:right="2839" w:firstLine="830"/>
        <w:spacing w:after="0" w:line="250" w:lineRule="auto"/>
        <w:rPr>
          <w:sz w:val="20"/>
          <w:szCs w:val="20"/>
          <w:color w:val="auto"/>
        </w:rPr>
      </w:pPr>
      <w:r>
        <w:rPr>
          <w:rFonts w:ascii="Courier New" w:cs="Courier New" w:eastAsia="Courier New" w:hAnsi="Courier New"/>
          <w:sz w:val="15"/>
          <w:szCs w:val="15"/>
          <w:color w:val="auto"/>
        </w:rPr>
        <w:t>Discussion of Third Quarter 1999 Activities. In the third quarter of 1999, Regeneron updated the status of the development of AXOKINE that is being developed for the treatment of obesity and complications of obesity such as Type</w:t>
      </w:r>
    </w:p>
    <w:p>
      <w:pPr>
        <w:spacing w:after="0" w:line="1" w:lineRule="exact"/>
        <w:rPr>
          <w:sz w:val="20"/>
          <w:szCs w:val="20"/>
          <w:color w:val="auto"/>
        </w:rPr>
      </w:pPr>
    </w:p>
    <w:p>
      <w:pPr>
        <w:ind w:left="5" w:right="2839" w:hanging="5"/>
        <w:spacing w:after="0" w:line="250" w:lineRule="auto"/>
        <w:tabs>
          <w:tab w:leader="none" w:pos="282"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diabetes. Under Regeneron's collaboration agreement with The Procter &amp; Gamble Company, the Company and Procter &amp; Gamble filed an Investigational New Drug application (called an IND) with the United States Food and Drug Administration in the first quarter of 1999 and commenced a double-blind Phase I clinical study to determine the safety of AXOKINE administered subcutaneously for a short duration to mildly to moderately obese healthy volunteers. In September 1999, Regeneron summarized preliminary, interim results of the Phase I safety study. Patients received increasing doses of AXOKINE (or placebo) administered subcutaneously in both single and multiple dose regimens. The single dose study demonstrated that AXOKINE is well tolerated at low doses. At higher single doses, nausea, vomiting, and herpes cold sores were observed. Increased cold sores caused by herpes simplex virus, or HSV, were also reported in previous clinical studies of ciliary neurotrophic factor (also called CNTF), AXOKINE's parent molecule. As of the date of Regeneron's summary of interim results, the multiple dose study (daily administration for 14 days) had been conducted at doses that were well tolerated in the single dose part of the study. Nine patients and four placebo patients had been completed with no reports of nausea, cough, or herpes cold sores. The treated patients lost weight and had decreased food (caloric) intake compared with those on placebo. One patient in the multiple low dose group, who was HSV-positive prior to treatment and had been previously diagnosed with Bell's palsy, had a recurrence of Bell's palsy approximately two weeks after the patient's last administration of AXOKINE. It is not known whether AXOKINE has any role in this patient's recurrence of Bell's palsy, and the patient recovered. Bell's palsy is a potentially permanently disfiguring condition but most often resolves spontaneously within weeks. Many researchers believe that Bell's palsy may be caused by HSV.</w:t>
      </w:r>
    </w:p>
    <w:p>
      <w:pPr>
        <w:spacing w:after="0" w:line="189" w:lineRule="exact"/>
        <w:rPr>
          <w:sz w:val="20"/>
          <w:szCs w:val="20"/>
          <w:color w:val="auto"/>
        </w:rPr>
      </w:pPr>
    </w:p>
    <w:p>
      <w:pPr>
        <w:ind w:left="5" w:right="3119" w:firstLine="830"/>
        <w:spacing w:after="0" w:line="251" w:lineRule="auto"/>
        <w:rPr>
          <w:sz w:val="20"/>
          <w:szCs w:val="20"/>
          <w:color w:val="auto"/>
        </w:rPr>
      </w:pPr>
      <w:r>
        <w:rPr>
          <w:rFonts w:ascii="Courier New" w:cs="Courier New" w:eastAsia="Courier New" w:hAnsi="Courier New"/>
          <w:sz w:val="15"/>
          <w:szCs w:val="15"/>
          <w:color w:val="auto"/>
        </w:rPr>
        <w:t>After examining the foregoing interim data from the Phase I study, including the possibility that the market for AXOKINE might be limited to HSV-negative patients, as part of an internal review of drug development programs and budgets, Procter &amp; Gamble decided to return to Regeneron the product rights to AXOKINE. Under certain circumstances, Procter &amp; Gamble will continue to be entitled to receive a small royalty on sales of AXOKINE.</w:t>
      </w:r>
    </w:p>
    <w:p>
      <w:pPr>
        <w:spacing w:after="0" w:line="176" w:lineRule="exact"/>
        <w:rPr>
          <w:sz w:val="20"/>
          <w:szCs w:val="20"/>
          <w:color w:val="auto"/>
        </w:rPr>
      </w:pPr>
    </w:p>
    <w:p>
      <w:pPr>
        <w:ind w:left="5" w:right="2839" w:firstLine="830"/>
        <w:spacing w:after="0" w:line="251" w:lineRule="auto"/>
        <w:rPr>
          <w:sz w:val="20"/>
          <w:szCs w:val="20"/>
          <w:color w:val="auto"/>
        </w:rPr>
      </w:pPr>
      <w:r>
        <w:rPr>
          <w:rFonts w:ascii="Courier New" w:cs="Courier New" w:eastAsia="Courier New" w:hAnsi="Courier New"/>
          <w:sz w:val="15"/>
          <w:szCs w:val="15"/>
          <w:color w:val="auto"/>
        </w:rPr>
        <w:t>The Phase I study has continued to be conducted by Procter &amp; Gamble in HSV-negative patients. Additional information about the Phase I study will be reported after the treatment phase and analysis of the data are complete. Regeneron plans to continue AXOKINE development and, following completion of the Phase I trial, plans to initiate in the first quarter of 2000 a Phase II dose-ranging trial to study the safety and efficacy of AXOKINE in obese patients who have not previously contracted HSV.</w:t>
      </w:r>
    </w:p>
    <w:p>
      <w:pPr>
        <w:spacing w:after="0" w:line="176" w:lineRule="exact"/>
        <w:rPr>
          <w:sz w:val="20"/>
          <w:szCs w:val="20"/>
          <w:color w:val="auto"/>
        </w:rPr>
      </w:pPr>
    </w:p>
    <w:p>
      <w:pPr>
        <w:ind w:left="5" w:right="2839" w:firstLine="830"/>
        <w:spacing w:after="0" w:line="250" w:lineRule="auto"/>
        <w:rPr>
          <w:sz w:val="20"/>
          <w:szCs w:val="20"/>
          <w:color w:val="auto"/>
        </w:rPr>
      </w:pPr>
      <w:r>
        <w:rPr>
          <w:rFonts w:ascii="Courier New" w:cs="Courier New" w:eastAsia="Courier New" w:hAnsi="Courier New"/>
          <w:sz w:val="15"/>
          <w:szCs w:val="15"/>
          <w:color w:val="auto"/>
        </w:rPr>
        <w:t>No assurance can be made regarding the timing or final result of the Phase I study or the timing or result of any further clinical trial of AXOKINE. Previous clinical studies of CNTF, the parent molecule of AXOKINE, in addition to weight loss, resulted in the creation of neutralizing antibodies and adverse events (side effects) in patients, including cough, nausea, malaise, and increased herpes simplex cold sores. While certain aspects of the development of AXOKINE have focused on attempting to avoid or minimize antibody production or adverse events, no assurance may be given that these problems will be avoided or minimized or that they will not lead to the failure, delay, or additional difficulty in conducting AXOKINE clinical trials. We discuss the risks associated with</w:t>
      </w:r>
    </w:p>
    <w:p>
      <w:pPr>
        <w:spacing w:after="0" w:line="18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5"/>
          </w:cols>
          <w:pgMar w:left="235" w:top="650" w:right="1440" w:bottom="1440" w:gutter="0" w:footer="0" w:header="0"/>
        </w:sectPr>
      </w:pPr>
    </w:p>
    <w:bookmarkStart w:id="12" w:name="page13"/>
    <w:bookmarkEnd w:id="12"/>
    <w:p>
      <w:pPr>
        <w:ind w:right="3299"/>
        <w:spacing w:after="0" w:line="253" w:lineRule="auto"/>
        <w:rPr>
          <w:sz w:val="20"/>
          <w:szCs w:val="20"/>
          <w:color w:val="auto"/>
        </w:rPr>
      </w:pPr>
      <w:r>
        <w:rPr>
          <w:rFonts w:ascii="Courier New" w:cs="Courier New" w:eastAsia="Courier New" w:hAnsi="Courier New"/>
          <w:sz w:val="15"/>
          <w:szCs w:val="15"/>
          <w:color w:val="auto"/>
        </w:rPr>
        <w:t>antibody development and adverse side effects in the section of this report titled "Factors That May Affect Operating Results."</w:t>
      </w:r>
    </w:p>
    <w:p>
      <w:pPr>
        <w:spacing w:after="0" w:line="174"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During the third quarter of 1999, Regeneron and Procter &amp; Gamble continued to collaborate in research and development in the fields of angiogenesis, bone growth and related areas, muscle injury and atrophy, and small molecule (orally active) drugs. The majority of Regeneron's scientific resources are devoted to its collaborative activities with Procter &amp; Gamble. Procter &amp; Gamble's decision to return to Regeneron product rights to AXOKINE has no impact on the broader Procter &amp; Gamble - Regeneron relationship.</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During the third quarter of 1999, Regeneron continued to develop independent of any corporate collaboration its proprietary cytokine traps for the potential treatment of asthma, inflammatory disease, cancer, and rheumatoid arthritis. The Company is exploring the possibility of finding corporate partners for some of its cytokine traps. Regeneron has conducted research with Pharmacopeia, Inc. in the area of small molecule drugs since 1996 under a collaboration agreement that will terminate, subject to certain continuing obligations, in the fourth quarter of 1999.</w:t>
      </w:r>
    </w:p>
    <w:p>
      <w:pPr>
        <w:spacing w:after="0" w:line="17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During the third quarter of 1999, Amgen-Regeneron Partners, the partnership equally owned by Regeneron and Amgen Inc., continued to develop BDNF and NT-3. BDNF is currently being developed by Amgen-Regeneron Partners for potential use in treating ALS through two routes of administration: intrathecal (infusion into the spinal fluid through an implanted pump) and subcutaneous (injection under the skin). In the fourth quarter of 1998, Amgen, on behalf of the partnership began an intrathecal study in more than 200 patients with ALS. Subcutaneous studies conducted by Regeneron on behalf of the partnership began in the first quarter of 1998. The subcutaneous studies are based on an analysis of the Amgen-Regeneron Partners Phase III trial of BDNF for ALS that was completed in 1996. That trial failed to achieve its predetermined end points, but subsequent analyses indicated that a retrospectively-defined subset of ALS patients in the trial may have received a survival benefit from BDNF treatment. A multi-center study of more than 300 ALS patients who will receive BDNF subcutaneously began in August 1999.</w:t>
      </w:r>
    </w:p>
    <w:p>
      <w:pPr>
        <w:spacing w:after="0" w:line="184"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Regeneron and Sumitomo Pharmaceuticals Co., Ltd. are collaborating in the development of BDNF in Japan, initially for the treatment of ALS. In March 1998, Sumitomo Pharmaceuticals commenced a Phase I safety assessment of BDNF delivered subcutaneously to normal volunteers. In August 1998, Sumitomo Pharmaceuticals signed a license agreement for the development of BDNF in Japan. Pursuant to the license agreement, Sumitomo Pharmaceuticals made a $5.0 million research progress payment (reduced by $0.5 million of Japanese withholding tax) to Regeneron in August 1998 and will be required to make additional payments upon the achievement of specified milestones. Sumitomo Pharmaceuticals will also pay a royalty on sales of BDNF in Japan.</w:t>
      </w:r>
    </w:p>
    <w:p>
      <w:pPr>
        <w:spacing w:after="0" w:line="18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Amgen-Regeneron Partners' clinical development of NT-3 is currently focused on constipating conditions. In 1998, Regeneron, on behalf of Amgen-Regeneron Partners, completed a small clinical study that included healthy volunteers and patients suffering from severe idiopathic constipation, and began additional small studies that continued through the third quarter of 1999 in patients who suffer from constipation associated with conditions such as spinal cord injury and the use of narcotic analgesics.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50" w:right="1440" w:bottom="1440" w:gutter="0" w:footer="0" w:header="0"/>
        </w:sectPr>
      </w:pPr>
    </w:p>
    <w:bookmarkStart w:id="13" w:name="page14"/>
    <w:bookmarkEnd w:id="13"/>
    <w:p>
      <w:pPr>
        <w:ind w:right="2939" w:firstLine="830"/>
        <w:spacing w:after="0" w:line="250" w:lineRule="auto"/>
        <w:rPr>
          <w:sz w:val="20"/>
          <w:szCs w:val="20"/>
          <w:color w:val="auto"/>
        </w:rPr>
      </w:pPr>
      <w:r>
        <w:rPr>
          <w:rFonts w:ascii="Courier New" w:cs="Courier New" w:eastAsia="Courier New" w:hAnsi="Courier New"/>
          <w:sz w:val="15"/>
          <w:szCs w:val="15"/>
          <w:color w:val="auto"/>
        </w:rPr>
        <w:t>No assurance can be given that extended administration of BDNF or NT-3 will be safe or effective. The treatment of ALS has been shown, in a number of clinical settings using a variety of treatment modalities (including Amgen-Regeneron Partners' earlier clinical studies), to present significant difficulties. The design of an ALS clinical study presents special difficulties and risks, as do the facts that ALS is a progressive disease that afflicts individual patients differently and other ALS treatments are approved or have been or are currently being tested, creating the possibility that patients in any BDNF study may also receive other therapeutics during all or part of the BDNF trial. The treatment of constipating conditions may present additional clinical trial risks in light of the complex and not wholly understood mechanisms of action that lead to the conditions, the concurrent use of other drugs to treat the underlying illnesses as well as the gastrointestinal condition, the potential difficulty of designing and achieving significant clinical end points, and other factors. No assurance can be given that these or any other studies of BDNF or NT-3 will be successful or that BDNF or NT-3 will be commercialized.</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Substantial risk is inherent in the research, development, and commercialization of drugs. In addition, in each of the areas of Regeneron's independent and collaborative activities, other companies and entities are actively pursuing competitive paths toward similar objectives. The results of the Company's and its collaborators' past activities in connection with the research and development of AXOKINE, cytokine traps, Angiopoietins, abnormal bone growth, muscle atrophy, small molecules, BDNF, NT-3, and other programs or areas of research or development do not necessarily predict the results or success of current or future activities including, but not limited to, any additional preclinical or clinical studies. Regeneron cannot predict whether, when, or under what conditions any of its research or product candidates, including without limitation AXOKINE, BDNF, or NT-3, will be shown to be safe or effective to treat any human condition or be approved for marketing by any regulatory agency. The delay or failure of current or future studies to demonstrate the safety or efficacy of its product candidates to treat human conditions or to be approved for marketing could have a material adverse impact on Regeneron.</w:t>
      </w:r>
    </w:p>
    <w:p>
      <w:pPr>
        <w:spacing w:after="0" w:line="362"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Regeneron has not received any revenues from the commercial sale of products and may never receive such revenues. Before such revenues can be realized, Regeneron (or its collaborators) must overcome a number of hurdles which include successfully completing its research and development efforts and obtaining regulatory approval from the FDA or regulatory authorities in other countries. In addition, the biotechnology and pharmaceutical industries are rapidly evolving and highly competitive, and new developments may render Regeneron's products and technologies noncompetitive or obsolete.</w:t>
      </w:r>
    </w:p>
    <w:p>
      <w:pPr>
        <w:spacing w:after="0" w:line="17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From inception on January 8, 1988 through September 30, 1999, Regeneron had a cumulative loss of $198.9 million. In the absence of revenues from commercial product sales or other sources (the amount, timing, nature, or source of which cannot be predicted), Regeneron's losses will continue as it conducts its research and development activities. The Company's activities may expand over time and may require additional resources, and the Company's operating losses may be substantial over at least the next several years. Regeneron's losses may fluctuate from quarter to quarter and will depend, among other factors, on the timing of certain expenses and on the progress of its research and development efforts.</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50"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Results of Operations</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Three months ended September 30, 1999 and 1998. Regeneron's total revenue was $12.5 million for the third quarter of 1999 compared to $12.6 million for the same period in 1998. Contract research and development revenue increased to $8.6 million in the third quarter of 1999 from $4.0 million in the same period of 1998, as revenue from Procter &amp; Gamble increased to $7.7 million in the third quarter of 1999 from $2.6 million for the same period in 1998. Effective in the third quarter of 1999 research support under the P&amp;G Agreement increased from $1.1 million per quarter to $7.0 million per quarter. The increase in quarterly research support under the P&amp;G Agreement was partly offset by a reduction in AXOKINE-related revenue from Procter &amp; Gamble, as research activity on AXOKINE declined as AXOKINE progressed into clinical trials. Regeneron also earned nominal revenue in the third quarter of 1999 from its ongoing collaboration with Sumitomo Pharmaceuticals, versus $0.8 million for the same period in 1998, as revenue from research payments under Regeneron's collaboration agreement with Sumitomo Pharmaceuticals ended in 1998 and because the Company did not supply any BDNF to Sumitomo Pharmaceuticals in the first nine months of 1999 for preclinical and clinical use. In addition, in the third quarter of 1998 a non-recurring research progress payment of $5.0 million (reduced by $0.5 million of Japanese withholding tax) was received from Sumitomo Pharmaceuticals related to the development of BDNF in Japan. Contract manufacturing revenue related to the long-term manufacturing agreement with Merck &amp; Co., Inc. increased to $2.7 million for the third quarter of 1999, compared to $2.3 million for the same period in 1998, primarily due to payments earned in the third quarter related to certain expenses that were incurred by the Company. Investment income in the third quarter of 1999 decreased to $1.2 million from $1.8 million for the same period in 1998 due mainly to lower levels of interest-bearing investments as the Company funds its operations.</w:t>
      </w:r>
    </w:p>
    <w:p>
      <w:pPr>
        <w:spacing w:after="0" w:line="189"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Regeneron's total operating expenses increased to $17.5 million in the third quarter of 1999 from $14.0 million for the same period in 1998. Research and development expenses increased to $12.9 million in the third quarter of 1999 from $9.9 million for the same period in 1998, primarily as a result of higher staffing and increased activity in the Company's preclinical and clinical research programs. Regeneron's share of the loss in Amgen-Regeneron Partners increased to $1.0 million in the third quarter of 1999 from $0.7 million for the same period in 1998, as a result of the partnership's increased clinical trial activity on BDNF and NT-3. Research and development expenses (including loss in Amgen-Regeneron Partners) were approximately 79% of total operating expenses in the third quarter of 1999, compared to 76% for the same period in 1998.</w:t>
      </w:r>
    </w:p>
    <w:p>
      <w:pPr>
        <w:spacing w:after="0" w:line="182"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General and administrative expenses increased to $1.6 million in the third quarter of 1999 from $1.3 million for the same period in 1998 due primarily to an increase in patent expenses related to U.S. and foreign patent filings and higher staffing. Depreciation and amortization expense increased to $0.9 million in the third quarter of 1999 from $0.7 million for the third quarter of 1998 resulting primarily from improvements made to the Company's leased research facilities and offices in Tarrytown, New York. Contract manufacturing expenses, which are expenses directly related to the Merck Agreement and are reimbursed by Merck, were $1.0 million for the third quarter of 1999, compared to $1.3 million for the same period in 1998, as certain pre-production expenses declined. Interest expense was $0.1 million for both the third quarter of 1999 and 1998.</w:t>
      </w:r>
    </w:p>
    <w:p>
      <w:pPr>
        <w:spacing w:after="0" w:line="36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50" w:right="1440" w:bottom="1440" w:gutter="0" w:footer="0" w:header="0"/>
        </w:sectPr>
      </w:pPr>
    </w:p>
    <w:bookmarkStart w:id="15" w:name="page16"/>
    <w:bookmarkEnd w:id="15"/>
    <w:p>
      <w:pPr>
        <w:jc w:val="both"/>
        <w:ind w:right="2839" w:firstLine="830"/>
        <w:spacing w:after="0" w:line="252" w:lineRule="auto"/>
        <w:rPr>
          <w:sz w:val="20"/>
          <w:szCs w:val="20"/>
          <w:color w:val="auto"/>
        </w:rPr>
      </w:pPr>
      <w:r>
        <w:rPr>
          <w:rFonts w:ascii="Courier New" w:cs="Courier New" w:eastAsia="Courier New" w:hAnsi="Courier New"/>
          <w:sz w:val="15"/>
          <w:szCs w:val="15"/>
          <w:color w:val="auto"/>
        </w:rPr>
        <w:t>The Company's net loss for the third quarter of 1999 was $4.9 million, or $0.16 per share (basic and diluted), compared to net loss of $1.4 million, or $0.04 per share (basic and diluted), for the same period in 1998.</w:t>
      </w:r>
    </w:p>
    <w:p>
      <w:pPr>
        <w:spacing w:after="0" w:line="17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Nine months ended September 30, 1999 and 1998. The Company's total revenue decreased to $26.6 million for the nine months ended September 30, 1999 from $36.0 million for the same period in 1998. Contract research and development revenue increased to $15.3 million for the nine months ended September 30, 1999 from $14.8 million for the same period in 1998, as revenue from Procter &amp; Gamble increased to $13.5 million in the first nine months of 1999 from $9.8 million for the same period in 1998. Effective in the third quarter of 1999 research support under the P&amp;G Agreement increased from $1.1 million per quarter to $7.0 million per quarter. The increase in quarterly research support under the P&amp;G Agreement was partly offset by a reduction in AXOKINE-related revenues from Procter &amp; Gamble as research activity on AXOKINE declined as AXOKINE progressed into clinical trials in 1999. The Company also earned nominal revenue in the first nine months of 1999 from its ongoing collaboration with Sumitomo Pharmaceuticals, versus $3.5 million for the same period in 1998, as revenue from research payments under the Company's collaboration agreement with Sumitomo Pharmaceuticals ended in 1998 and because the Company did not supply any BDNF to Sumitomo Pharmaceuticals in the first nine months of 1999 for preclinical and clinical use. In addition, in 1998 Regeneron received non-recurring research progress payments totaling $9.5 million, consisting of $5.0 million from Sumitomo Pharmaceuticals related to the development of BDNF in Japan (reduced by $0.5 million of Japanese withholding tax) and $5.0 million from Procter &amp; Gamble in connection with the AXOKINE collaboration. Contract manufacturing revenue related to the Merck Agreement increased to $7.3 million for the first nine months of 1999, compared to $6.5 million for the same period in 1998, as a result of increased activity in preparation for manufacturing a product for Merck at the Company's Rensselaer, New York facility. Investment income for the nine months ended September 30, 1999 decreased to $4.0 million from $5.3 million for the same period in 1998, due mainly to lower levels of interest-bearing investments as the Company funds its operations.</w:t>
      </w:r>
    </w:p>
    <w:p>
      <w:pPr>
        <w:spacing w:after="0" w:line="368"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Company's total operating expenses increased to $48.3 million for the nine months ended September 30, 1999 from $39.1 million for the same period in 1998. Research and development expenses increased to $35.0 million in the first nine months of 1999 from $27.1 million for the same period in 1998, primarily as a result of higher staffing and increased activity in the Company's preclinical and clinical research programs. The Company's share of the loss in Amgen-Regeneron Partners increased to $2.5 million in the first nine months of 1999 from $1.6 million for the same period in 1998, as a result of the partnership's increased clinical trial activity on BDNF and NT-3. Research and development expenses (including loss in Amgen-Regeneron Partners) were approximately 78% of total operating expenses in the first nine months of 1999, compared to 73% for the same period in 1998.</w:t>
      </w:r>
    </w:p>
    <w:p>
      <w:pPr>
        <w:spacing w:after="0" w:line="183"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General and administrative expense increased to $4.7 million for the first nine months of 1999 from $4.4 million for the same period in 1998 due primarily to an increase in patent expenses related to U.S. and foreign patent filings and higher staffing. Depreciation and amortization expense increased to $2.5 million for the first nine months of 1999 from $2.3 million for the same period in 1998 resulting primarily from improvements made to the Company's leased research facilities and offices in Tarrytown. Contract manufacturing expenses, which are direct expenses related to the Merck Agreement and are reimbursed by Merck, were $3.5 million in the first nine months of 1999 compared to</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50" w:right="1440" w:bottom="1440" w:gutter="0" w:footer="0" w:header="0"/>
        </w:sectPr>
      </w:pPr>
    </w:p>
    <w:bookmarkStart w:id="16" w:name="page17"/>
    <w:bookmarkEnd w:id="16"/>
    <w:p>
      <w:pPr>
        <w:ind w:right="3019"/>
        <w:spacing w:after="0" w:line="253" w:lineRule="auto"/>
        <w:rPr>
          <w:sz w:val="20"/>
          <w:szCs w:val="20"/>
          <w:color w:val="auto"/>
        </w:rPr>
      </w:pPr>
      <w:r>
        <w:rPr>
          <w:rFonts w:ascii="Courier New" w:cs="Courier New" w:eastAsia="Courier New" w:hAnsi="Courier New"/>
          <w:sz w:val="15"/>
          <w:szCs w:val="15"/>
          <w:color w:val="auto"/>
        </w:rPr>
        <w:t>$3.4 million in the same period of 1998. Interest expense was $0.2 million and $0.3 million for the first nine months of 1999 and 1998, respectively.</w:t>
      </w:r>
    </w:p>
    <w:p>
      <w:pPr>
        <w:spacing w:after="0" w:line="174"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Company's net loss for the nine months ended September 30, 1999 was $21.7 million, or $0.69 per share (basic and diluted), compared to a net loss of $3.1 million, or $0.10 per share (basic and diluted), for the same period in 1998.</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Since its inception in 1988, the Company has financed its operations primarily through private placements and public offerings of its equity securities, revenue earned under agreements between the Company and Amgen, Sumitomo Chemical Company, Ltd., Sumitomo Pharmaceuticals, Merck, and Procter &amp; Gamble, and investment income.</w:t>
      </w:r>
    </w:p>
    <w:p>
      <w:pPr>
        <w:spacing w:after="0" w:line="176"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In May 1997, Regeneron and Procter &amp; Gamble entered into the P&amp;G Agreement. Procter &amp; Gamble agreed over the first five years of the P&amp;G Agreement to purchase up to $60.0 million in Regeneron equity (of which $42.9 million was purchased in June 1997) and provide up to $94.7 million in support of Regeneron's research efforts related to the collaboration (of which $9.9 million was received through September 30, 1999). During the second five years of the P&amp;G Agreement, the companies will share all research costs equally. Clinical testing and commercialization expenses for jointly developed products will generally be shared equally throughout the ten years of the collaboration. The companies expect jointly to develop and market worldwide any products resulting from the collaboration and share equally in profits. Either company may terminate the P&amp;G Agreement at the end of five years with at least one year prior notice or earlier if a defined event of default occurs. In September 1997, the Company and Procter &amp; Gamble expanded the P&amp;G Agreement to include AXOKINE and related molecules (delivered systemically), and agreed to develop AXOKINE initially to treat obesity associated with Type II diabetes. Procter &amp; Gamble agreed to reimburse the Company for certain research and development costs and made research progress payments to Regeneron of $5.0 million in both 1997 and 1998 in part due to the achievement of certain milestones related to AXOKINE. During the third quarter of 1999, Procter &amp; Gamble returned product rights to AXOKINE to Regeneron and is not expected to make further payments to Regeneron for activities beyond the third quarter related to AXOKINE. The decision by Procter &amp; Gamble to terminate the joint development of AXOKINE has no effect on the broader ten-year collaborative P&amp;G Agreement under which, beginning in the third quarter of 1999, research support from Procter &amp; Gamble, aside from amounts related to AXOKINE, increased from $1.1 million per quarter to at least $6.3 million per quarter through June 2002.</w:t>
      </w:r>
    </w:p>
    <w:p>
      <w:pPr>
        <w:spacing w:after="0" w:line="189"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In connection with Regeneron's agreement to collaborate with Sumitomo Pharmaceuticals in the research and development of BDNF in Japan, Sumitomo Pharmaceuticals paid the Company $25.0 million through December 1997. The Company also received a $5.0 million research progress payment from Sumitomo Pharmaceuticals (reduced by $0.5 million of Japanese withholding tax) in August 1998. In addition, Sumitomo Pharmaceuticals has paid the Company $27.6 million through September 30, 1999 in connection with supplying BDNF for preclinical and clinical use. Regeneron has not supplied any BDNF to Sumitomo Pharmaceuticals in 1999, but expects to resume supplying BDNF in the first quarter of 2000.</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50" w:right="1440" w:bottom="1440" w:gutter="0" w:footer="0" w:header="0"/>
        </w:sectPr>
      </w:pPr>
    </w:p>
    <w:bookmarkStart w:id="17" w:name="page18"/>
    <w:bookmarkEnd w:id="17"/>
    <w:p>
      <w:pPr>
        <w:ind w:right="2839" w:firstLine="830"/>
        <w:spacing w:after="0" w:line="250" w:lineRule="auto"/>
        <w:rPr>
          <w:sz w:val="20"/>
          <w:szCs w:val="20"/>
          <w:color w:val="auto"/>
        </w:rPr>
      </w:pPr>
      <w:r>
        <w:rPr>
          <w:rFonts w:ascii="Courier New" w:cs="Courier New" w:eastAsia="Courier New" w:hAnsi="Courier New"/>
          <w:sz w:val="15"/>
          <w:szCs w:val="15"/>
          <w:color w:val="auto"/>
        </w:rPr>
        <w:t>The Company's activities relating to BDNF and NT-3, as agreed upon by Amgen and Regeneron, are being reimbursed by Amgen-Regeneron Partners, and the Company recognizes such reimbursement as revenue. The funding of Amgen-Regeneron Partners is through capital contributions from Amgen and Regeneron, who must make equal payments in order to maintain equal ownership and equal sharing of any profits or losses from the partnership. The Company has made capital contributions totaling approximately $51.1 million to Amgen-Regeneron Partners from the partnership's inception in June 1993 through September 30, 1999. The Company expects that its capital contributions in 1999 will total at least $2.0 million for the full year. These contributions could increase or decrease, depending upon (among other things) the nature and cost of BDNF and NT-3 studies that Amgen-Regeneron Partners may conduct and the outcomes of those studies.</w:t>
      </w:r>
    </w:p>
    <w:p>
      <w:pPr>
        <w:spacing w:after="0" w:line="183"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From its inception in January 1988 through September 30, 1999, the Company invested approximately $64.5 million in property, plant, and equipment. This includes $16.8 million to acquire and renovate the Rensselaer facility and an additional $14.1 million to complete construction at the facility pursuant to the Merck Agreement. In connection with the purchase and renovation of the Rensselaer facility, the Company obtained financing of $2.0 million from the New York State Urban Development Corporation, of which $1.6 million is outstanding. Under the terms of this UDC financing, the Company is not permitted to declare or pay dividends on its equity securities.</w:t>
      </w:r>
    </w:p>
    <w:p>
      <w:pPr>
        <w:spacing w:after="0" w:line="17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Company expects that expenses related to the filing, prosecution, defense, and enforcement of patent and other intellectual property claims will continue to be substantial as a result of patent filings and prosecutions in the United States and foreign countries. The Company is currently involved in interference proceedings in the Patent and Trademark Office between Regeneron's patent applications and patents relating to CNTF issued to Synergen, Inc. Amgen acquired all outstanding shares of Synergen in 1994. In March 1998, the Company and Amgen entered into a covenant not to sue each other which, among other things, resolved their patent interference and related patent proceedings relating to CNTF and AXOKINE. The Company also granted Amgen a license to use CNTF and second generation CNTFs other than AXOKINE to treat retinal degenerative conditions. Neither party will pay royalties or make other payments to the other party in consideration of this agreement.</w:t>
      </w:r>
    </w:p>
    <w:p>
      <w:pPr>
        <w:spacing w:after="0" w:line="183"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As of September 30, 1999, the Company had no established banking arrangements through which it could obtain short-term financing or a line of credit. Additional funds may be raised through, among other things, the issuance of additional securities, other financing arrangements, and future collaboration agreements. No assurance can be given that additional financing will be available or, if available, that it will be available on acceptable terms. In addition, the Company estimates that through mid-2002 it could receive additional payments from Procter &amp; Gamble in the form of research funding and equity purchases of as much as $90 million or more.</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At September 30, 1999, the Company had $87.4 million in cash, cash equivalents, and marketable securities. The Company expects to incur substantial funding requirements for, among other things, research and development activities (including preclinical and clinical testing), validation of manufacturing facilities, and the acquisition of equipment. The Company expects to incur ongoing funding requirements for capital contributions to Amgen-Regeneron Partners to support the continued development and clinical trials of BDNF and NT-3. Through 2000, the Company expects further increases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50" w:right="1440" w:bottom="1440" w:gutter="0" w:footer="0" w:header="0"/>
        </w:sectPr>
      </w:pPr>
    </w:p>
    <w:bookmarkStart w:id="18" w:name="page19"/>
    <w:bookmarkEnd w:id="18"/>
    <w:p>
      <w:pPr>
        <w:ind w:right="2839"/>
        <w:spacing w:after="0" w:line="250" w:lineRule="auto"/>
        <w:rPr>
          <w:sz w:val="20"/>
          <w:szCs w:val="20"/>
          <w:color w:val="auto"/>
        </w:rPr>
      </w:pPr>
      <w:r>
        <w:rPr>
          <w:rFonts w:ascii="Courier New" w:cs="Courier New" w:eastAsia="Courier New" w:hAnsi="Courier New"/>
          <w:sz w:val="15"/>
          <w:szCs w:val="15"/>
          <w:color w:val="auto"/>
        </w:rPr>
        <w:t>in the level of quarterly research and development expenses as the Company continues to add staff and increases its clinical activity. The amount needed to fund operations will also depend on other factors, including the status of competitive products, the success of the Company's research and development programs, the status of patents and other intellectual property rights developments, and the continuation, extent, and success of any collaborative research programs (including those with Amgen and Procter &amp; Gamble). The Company believes that its existing capital resources will enable it to meet operating needs for at least several years. No assurance can be given that there will be no change in projected revenues or expenses that would lead to the Company's capital being consumed significantly before such time.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Operating Results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Regeneron cautions stockholders and potential investors that the following important factors, among others, in some cases have affected, and in the future could affect, Regeneron's actual results and could cause Regeneron's actual results to differ materially from those expressed in any forward-looking statements made by, or on behalf of, Regeneron.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75" w:lineRule="exact"/>
        <w:rPr>
          <w:sz w:val="20"/>
          <w:szCs w:val="20"/>
          <w:color w:val="auto"/>
        </w:rPr>
      </w:pPr>
    </w:p>
    <w:p>
      <w:pPr>
        <w:ind w:left="1100" w:right="3019" w:hanging="275"/>
        <w:spacing w:after="0" w:line="251" w:lineRule="auto"/>
        <w:tabs>
          <w:tab w:leader="none" w:pos="11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the Company's research and development programs to produce product candidates that are scientifically or commercially appropriate for further development by the Company or others.</w:t>
      </w:r>
    </w:p>
    <w:p>
      <w:pPr>
        <w:spacing w:after="0" w:line="176" w:lineRule="exact"/>
        <w:rPr>
          <w:rFonts w:ascii="Courier New" w:cs="Courier New" w:eastAsia="Courier New" w:hAnsi="Courier New"/>
          <w:sz w:val="15"/>
          <w:szCs w:val="15"/>
          <w:color w:val="auto"/>
        </w:rPr>
      </w:pPr>
    </w:p>
    <w:p>
      <w:pPr>
        <w:ind w:left="1100" w:right="2939" w:hanging="275"/>
        <w:spacing w:after="0" w:line="251" w:lineRule="auto"/>
        <w:tabs>
          <w:tab w:leader="none" w:pos="11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or termination of material collaborative or licensing agreements (including in particular, but not limited to, those with Procter &amp; Gamble and Amgen) and the resulting loss of research or other funding could have a material adverse effect on the Company and its operations. A change of control of one or more of the Company's material collaborators or licensees could also have a material adverse effect on the Company.</w:t>
      </w:r>
    </w:p>
    <w:p>
      <w:pPr>
        <w:spacing w:after="0" w:line="175" w:lineRule="exact"/>
        <w:rPr>
          <w:rFonts w:ascii="Courier New" w:cs="Courier New" w:eastAsia="Courier New" w:hAnsi="Courier New"/>
          <w:sz w:val="15"/>
          <w:szCs w:val="15"/>
          <w:color w:val="auto"/>
        </w:rPr>
      </w:pPr>
    </w:p>
    <w:p>
      <w:pPr>
        <w:ind w:left="1100" w:right="2839" w:hanging="275"/>
        <w:spacing w:after="0" w:line="251" w:lineRule="auto"/>
        <w:tabs>
          <w:tab w:leader="none" w:pos="11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a clinical trial of any of the Company's product candidates. A clinical trial can fail or be delayed as a result of many causes, including, among others, failure of the product candidate to demonstrate safety or efficacy, the development of serious or life-threatening adverse events (side effects) caused by or connected with exposure to the product candidate, and the failure of clinical investigators, trial monitors and other consultants, or trial subjects to comply with the trial plan or protocol.</w:t>
      </w:r>
    </w:p>
    <w:p>
      <w:pPr>
        <w:spacing w:after="0" w:line="175" w:lineRule="exact"/>
        <w:rPr>
          <w:rFonts w:ascii="Courier New" w:cs="Courier New" w:eastAsia="Courier New" w:hAnsi="Courier New"/>
          <w:sz w:val="15"/>
          <w:szCs w:val="15"/>
          <w:color w:val="auto"/>
        </w:rPr>
      </w:pPr>
    </w:p>
    <w:p>
      <w:pPr>
        <w:ind w:left="1100" w:right="2839" w:hanging="275"/>
        <w:spacing w:after="0" w:line="251" w:lineRule="auto"/>
        <w:tabs>
          <w:tab w:leader="none" w:pos="11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safety, efficacy, manufacturing, and regulatory hurdles faced by Regeneron's drug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50" w:right="1440" w:bottom="1440" w:gutter="0" w:footer="0" w:header="0"/>
        </w:sectPr>
      </w:pPr>
    </w:p>
    <w:bookmarkStart w:id="19" w:name="page20"/>
    <w:bookmarkEnd w:id="19"/>
    <w:p>
      <w:pPr>
        <w:ind w:left="275" w:right="2839"/>
        <w:spacing w:after="0" w:line="251" w:lineRule="auto"/>
        <w:rPr>
          <w:sz w:val="20"/>
          <w:szCs w:val="20"/>
          <w:color w:val="auto"/>
        </w:rPr>
      </w:pPr>
      <w:r>
        <w:rPr>
          <w:rFonts w:ascii="Courier New" w:cs="Courier New" w:eastAsia="Courier New" w:hAnsi="Courier New"/>
          <w:sz w:val="15"/>
          <w:szCs w:val="15"/>
          <w:color w:val="auto"/>
        </w:rPr>
        <w:t>patient's own proteins, resulting in an "auto-immune type" disease. Whether antibodies will be created can often not be predicted from preclinical experiments and their appearance is often delayed, so that there can be no assurance that neutralizing antibodies will not be created at a later date -- in some cases even after pivotal clinical trials have been successfully completed. Patients who have been treated with AXOKINE, BDNF, and NT-3 have developed antibodies, though we have no information that indicates that these antibodies are neutralizing antibodies.</w:t>
      </w:r>
    </w:p>
    <w:p>
      <w:pPr>
        <w:spacing w:after="0" w:line="175" w:lineRule="exact"/>
        <w:rPr>
          <w:sz w:val="20"/>
          <w:szCs w:val="20"/>
          <w:color w:val="auto"/>
        </w:rPr>
      </w:pPr>
    </w:p>
    <w:p>
      <w:pPr>
        <w:ind w:left="275" w:right="3399" w:hanging="275"/>
        <w:spacing w:after="0" w:line="251" w:lineRule="auto"/>
        <w:tabs>
          <w:tab w:leader="none" w:pos="27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in obtaining regulatory approval (including approval of its facilities for production) for the Company's products (including vaccine intermediate for Merck), including delays or difficulties in development because of insufficient proof of safety or efficacy.</w:t>
      </w:r>
    </w:p>
    <w:p>
      <w:pPr>
        <w:spacing w:after="0" w:line="176" w:lineRule="exact"/>
        <w:rPr>
          <w:rFonts w:ascii="Courier New" w:cs="Courier New" w:eastAsia="Courier New" w:hAnsi="Courier New"/>
          <w:sz w:val="15"/>
          <w:szCs w:val="15"/>
          <w:color w:val="auto"/>
        </w:rPr>
      </w:pPr>
    </w:p>
    <w:p>
      <w:pPr>
        <w:ind w:left="275" w:right="3479" w:hanging="275"/>
        <w:spacing w:after="0" w:line="252" w:lineRule="auto"/>
        <w:tabs>
          <w:tab w:leader="none" w:pos="27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and irregular costs of development, manufacture, regulatory approval, sales, and marketing associated with the introduction of products in the late stage of development.</w:t>
      </w:r>
    </w:p>
    <w:p>
      <w:pPr>
        <w:spacing w:after="0" w:line="174" w:lineRule="exact"/>
        <w:rPr>
          <w:rFonts w:ascii="Courier New" w:cs="Courier New" w:eastAsia="Courier New" w:hAnsi="Courier New"/>
          <w:sz w:val="15"/>
          <w:szCs w:val="15"/>
          <w:color w:val="auto"/>
        </w:rPr>
      </w:pPr>
    </w:p>
    <w:p>
      <w:pPr>
        <w:ind w:left="275" w:right="3119" w:hanging="275"/>
        <w:spacing w:after="0" w:line="252" w:lineRule="auto"/>
        <w:tabs>
          <w:tab w:leader="none" w:pos="27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or market factors that may cause use of the Company's products to be limited or otherwise fail to achieve broad acceptance.</w:t>
      </w:r>
    </w:p>
    <w:p>
      <w:pPr>
        <w:spacing w:after="0" w:line="174" w:lineRule="exact"/>
        <w:rPr>
          <w:rFonts w:ascii="Courier New" w:cs="Courier New" w:eastAsia="Courier New" w:hAnsi="Courier New"/>
          <w:sz w:val="15"/>
          <w:szCs w:val="15"/>
          <w:color w:val="auto"/>
        </w:rPr>
      </w:pPr>
    </w:p>
    <w:p>
      <w:pPr>
        <w:ind w:left="275" w:right="2839" w:hanging="275"/>
        <w:spacing w:after="0" w:line="251" w:lineRule="auto"/>
        <w:tabs>
          <w:tab w:leader="none" w:pos="27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76" w:lineRule="exact"/>
        <w:rPr>
          <w:rFonts w:ascii="Courier New" w:cs="Courier New" w:eastAsia="Courier New" w:hAnsi="Courier New"/>
          <w:sz w:val="15"/>
          <w:szCs w:val="15"/>
          <w:color w:val="auto"/>
        </w:rPr>
      </w:pPr>
    </w:p>
    <w:p>
      <w:pPr>
        <w:ind w:left="275" w:right="3019" w:hanging="275"/>
        <w:spacing w:after="0" w:line="251" w:lineRule="auto"/>
        <w:tabs>
          <w:tab w:leader="none" w:pos="27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or high costs of obtaining adequate financing to meet the Company's obligations under its collaboration and licensing agreements or to fund 50 percent of the cost of developing product candidates in order to retain 50 percent of the commercialization rights.</w:t>
      </w:r>
    </w:p>
    <w:p>
      <w:pPr>
        <w:spacing w:after="0" w:line="176" w:lineRule="exact"/>
        <w:rPr>
          <w:rFonts w:ascii="Courier New" w:cs="Courier New" w:eastAsia="Courier New" w:hAnsi="Courier New"/>
          <w:sz w:val="15"/>
          <w:szCs w:val="15"/>
          <w:color w:val="auto"/>
        </w:rPr>
      </w:pPr>
    </w:p>
    <w:p>
      <w:pPr>
        <w:ind w:left="275" w:right="2939" w:hanging="275"/>
        <w:spacing w:after="0" w:line="251" w:lineRule="auto"/>
        <w:tabs>
          <w:tab w:leader="none" w:pos="27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and rate of growth of Regeneron's general and administrative expenses, and the impact of unusual charges resulting from Regeneron's ongoing evaluation of its business strategies and organizational structure.</w:t>
      </w:r>
    </w:p>
    <w:p>
      <w:pPr>
        <w:spacing w:after="0" w:line="176" w:lineRule="exact"/>
        <w:rPr>
          <w:rFonts w:ascii="Courier New" w:cs="Courier New" w:eastAsia="Courier New" w:hAnsi="Courier New"/>
          <w:sz w:val="15"/>
          <w:szCs w:val="15"/>
          <w:color w:val="auto"/>
        </w:rPr>
      </w:pPr>
    </w:p>
    <w:p>
      <w:pPr>
        <w:ind w:left="275" w:right="3299" w:hanging="275"/>
        <w:spacing w:after="0" w:line="251" w:lineRule="auto"/>
        <w:tabs>
          <w:tab w:leader="none" w:pos="27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corporate partners to develop or commercialize successfully the Company's products or to retain and expand the markets served by the commercial collaborations; conflicts of interest, priorities, and commercial strategies which may arise between Regeneron and its corporate partners.</w:t>
      </w:r>
    </w:p>
    <w:p>
      <w:pPr>
        <w:spacing w:after="0" w:line="176" w:lineRule="exact"/>
        <w:rPr>
          <w:rFonts w:ascii="Courier New" w:cs="Courier New" w:eastAsia="Courier New" w:hAnsi="Courier New"/>
          <w:sz w:val="15"/>
          <w:szCs w:val="15"/>
          <w:color w:val="auto"/>
        </w:rPr>
      </w:pPr>
    </w:p>
    <w:p>
      <w:pPr>
        <w:ind w:left="275" w:right="2939" w:hanging="275"/>
        <w:spacing w:after="0" w:line="251" w:lineRule="auto"/>
        <w:tabs>
          <w:tab w:leader="none" w:pos="27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or difficulties in developing and acquiring production technology and technical and managerial personnel to manufacture novel biotechnology products in commercial quantities at reasonable costs and in compliance with applicable quality assurance and environmental regulations and governmental permitting requirements.</w:t>
      </w:r>
    </w:p>
    <w:p>
      <w:pPr>
        <w:spacing w:after="0" w:line="176" w:lineRule="exact"/>
        <w:rPr>
          <w:rFonts w:ascii="Courier New" w:cs="Courier New" w:eastAsia="Courier New" w:hAnsi="Courier New"/>
          <w:sz w:val="15"/>
          <w:szCs w:val="15"/>
          <w:color w:val="auto"/>
        </w:rPr>
      </w:pPr>
    </w:p>
    <w:p>
      <w:pPr>
        <w:ind w:left="275" w:right="3219" w:hanging="275"/>
        <w:spacing w:after="0" w:line="253" w:lineRule="auto"/>
        <w:tabs>
          <w:tab w:leader="none" w:pos="27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obtaining key raw materials and supplies for the manufacture of the Company's product candidates.</w:t>
      </w:r>
    </w:p>
    <w:p>
      <w:pPr>
        <w:spacing w:after="0" w:line="174" w:lineRule="exact"/>
        <w:rPr>
          <w:sz w:val="20"/>
          <w:szCs w:val="20"/>
          <w:color w:val="auto"/>
        </w:rPr>
      </w:pPr>
    </w:p>
    <w:p>
      <w:pPr>
        <w:ind w:left="2775"/>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394"/>
          </w:cols>
          <w:pgMar w:left="1065" w:top="650" w:right="1440" w:bottom="1440" w:gutter="0" w:footer="0" w:header="0"/>
        </w:sectPr>
      </w:pPr>
    </w:p>
    <w:bookmarkStart w:id="20" w:name="page21"/>
    <w:bookmarkEnd w:id="20"/>
    <w:p>
      <w:pPr>
        <w:ind w:left="1100" w:right="2839" w:hanging="275"/>
        <w:spacing w:after="0" w:line="250" w:lineRule="auto"/>
        <w:tabs>
          <w:tab w:leader="none" w:pos="11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and other effects of legal and administrative cases and proceedings (whether civil, such as product- or employment-related, or environmental, or criminal); settlements and investigations; developments or assertions by or against Regeneron relating to intellectual property rights and licenses; the issuance and use of patents and proprietary technology by Regeneron and its competitors, including the possible negative effect on the Company's ability to develop, manufacture, and sell its products in circumstances where it is unable to obtain licenses to patents which may be required for such products.</w:t>
      </w:r>
    </w:p>
    <w:p>
      <w:pPr>
        <w:spacing w:after="0" w:line="181" w:lineRule="exact"/>
        <w:rPr>
          <w:rFonts w:ascii="Courier New" w:cs="Courier New" w:eastAsia="Courier New" w:hAnsi="Courier New"/>
          <w:sz w:val="15"/>
          <w:szCs w:val="15"/>
          <w:color w:val="auto"/>
        </w:rPr>
      </w:pPr>
    </w:p>
    <w:p>
      <w:pPr>
        <w:ind w:left="1100" w:right="3219" w:hanging="275"/>
        <w:spacing w:after="0" w:line="251" w:lineRule="auto"/>
        <w:tabs>
          <w:tab w:leader="none" w:pos="11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Underutilization of the Company's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76" w:lineRule="exact"/>
        <w:rPr>
          <w:rFonts w:ascii="Courier New" w:cs="Courier New" w:eastAsia="Courier New" w:hAnsi="Courier New"/>
          <w:sz w:val="15"/>
          <w:szCs w:val="15"/>
          <w:color w:val="auto"/>
        </w:rPr>
      </w:pPr>
    </w:p>
    <w:p>
      <w:pPr>
        <w:ind w:left="1100" w:right="2839" w:hanging="275"/>
        <w:spacing w:after="0" w:line="253" w:lineRule="auto"/>
        <w:tabs>
          <w:tab w:leader="none" w:pos="11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Health care reform, including reductions or changes in reimbursement available for prescription medications or other reforms.</w:t>
      </w:r>
    </w:p>
    <w:p>
      <w:pPr>
        <w:spacing w:after="0" w:line="174" w:lineRule="exact"/>
        <w:rPr>
          <w:rFonts w:ascii="Courier New" w:cs="Courier New" w:eastAsia="Courier New" w:hAnsi="Courier New"/>
          <w:sz w:val="15"/>
          <w:szCs w:val="15"/>
          <w:color w:val="auto"/>
        </w:rPr>
      </w:pPr>
    </w:p>
    <w:p>
      <w:pPr>
        <w:ind w:left="1100" w:hanging="275"/>
        <w:spacing w:after="0"/>
        <w:tabs>
          <w:tab w:leader="none" w:pos="11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attract and retain key personnel.</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As Regeneron's scientific efforts lead to potentially promising new directions, both outside of recombinant protein therapies and into conditions or diseases outside of Regeneron's current areas of experience and expertise, the Company will require additional internal expertise or external collaborations in areas in which it currently does not have substantial resources and personnel.</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Company is evaluating its operations to determine the impact, if any, that Year 2000 problems may have. The Year 2000 problem results from computer programs and devices that do not differentiate between the year 1900 and the year 2000 because they were written using two digits rather than four to define the applicable year. Accordingly, computer systems that have time-sensitive calculations may not properly recognize the year 2000. Like many corporations, Regeneron has no previous experience with an issue like the Year 2000 problem.</w:t>
      </w:r>
    </w:p>
    <w:p>
      <w:pPr>
        <w:spacing w:after="0" w:line="17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Year 2000 problem could affect Regeneron's ability to conduct its normal operations that are date sensitive or depend on computers or equipment that contain embedded chips that are date sensitive. It could adversely affect Regeneron's ability to maintain or operate its facilities in a safe and effective manner or undertake other activities necessary and customary to carrying out its business. In addition, the Year 2000 problem could have material adverse effects on the operations or financial condition of the Company's licensees, licensors, collaborators, suppliers, vendors, and others and, in particular, utility companies that provide energy to the Company's facilities and equipment, which could, in turn, have a material direct or indirect effect on Regeneron. Regeneron is not currently Year 2000 compliant. Although the Company believes it is developing an appropriate program to address the Year 2000 problem, it cannot guarantee that its program will succeed or will be timely. The following is a discussion of the Company's Year 2000 program.</w:t>
      </w:r>
    </w:p>
    <w:p>
      <w:pPr>
        <w:spacing w:after="0" w:line="184"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Company has appointed a Year 2000 task force with representatives from each department of the Company and has retained independent consultants and experts to facilitate its review. The Company's Year 2000 review includes its computer systems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50" w:right="1440" w:bottom="1440" w:gutter="0" w:footer="0" w:header="0"/>
        </w:sectPr>
      </w:pPr>
    </w:p>
    <w:bookmarkStart w:id="21" w:name="page22"/>
    <w:bookmarkEnd w:id="21"/>
    <w:p>
      <w:pPr>
        <w:ind w:right="2839"/>
        <w:spacing w:after="0" w:line="251" w:lineRule="auto"/>
        <w:rPr>
          <w:sz w:val="20"/>
          <w:szCs w:val="20"/>
          <w:color w:val="auto"/>
        </w:rPr>
      </w:pPr>
      <w:r>
        <w:rPr>
          <w:rFonts w:ascii="Courier New" w:cs="Courier New" w:eastAsia="Courier New" w:hAnsi="Courier New"/>
          <w:sz w:val="15"/>
          <w:szCs w:val="15"/>
          <w:color w:val="auto"/>
        </w:rPr>
        <w:t>and software, embedded systems in non-computer equipment, and vendor operations. The Company has identified the following three principal areas of potential computer systems exposure at Regeneron to the Year 2000 problem, in addition to third party issues which are discussed elsewhere:</w:t>
      </w:r>
    </w:p>
    <w:p>
      <w:pPr>
        <w:spacing w:after="0" w:line="176" w:lineRule="exact"/>
        <w:rPr>
          <w:sz w:val="20"/>
          <w:szCs w:val="20"/>
          <w:color w:val="auto"/>
        </w:rPr>
      </w:pPr>
    </w:p>
    <w:p>
      <w:pPr>
        <w:ind w:left="1100" w:right="2839" w:hanging="275"/>
        <w:spacing w:after="0" w:line="250" w:lineRule="auto"/>
        <w:tabs>
          <w:tab w:leader="none" w:pos="11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Process control, instruments, and environmental monitoring and control systems: these types of systems are used in the Company's manufacturing and research and development processes, among other operations. These generally are systems, devices, and instruments which use date functionality and generate, send, receive, or manipulate date-stamped data and signals. These systems may be found in data acquisition/processing software, laboratory instrumentation, and other equipment with embedded code, for example. These devices and instruments may be controlled by installed software, firmware, or other embedded control algorithms.</w:t>
      </w:r>
    </w:p>
    <w:p>
      <w:pPr>
        <w:spacing w:after="0" w:line="181" w:lineRule="exact"/>
        <w:rPr>
          <w:rFonts w:ascii="Courier New" w:cs="Courier New" w:eastAsia="Courier New" w:hAnsi="Courier New"/>
          <w:sz w:val="15"/>
          <w:szCs w:val="15"/>
          <w:color w:val="auto"/>
        </w:rPr>
      </w:pPr>
    </w:p>
    <w:p>
      <w:pPr>
        <w:ind w:left="1100" w:right="2939" w:hanging="275"/>
        <w:spacing w:after="0" w:line="251" w:lineRule="auto"/>
        <w:tabs>
          <w:tab w:leader="none" w:pos="11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Servers, desktops, and infrastructure: these generally are desktop computers (Macintosh and PCs) and server computer equipment, telecommunications, local area networks, wide area networks, and include system hardware, firmware, installed commercial application software, e-mail, and video teleconferencing, for example.</w:t>
      </w:r>
    </w:p>
    <w:p>
      <w:pPr>
        <w:spacing w:after="0" w:line="176" w:lineRule="exact"/>
        <w:rPr>
          <w:rFonts w:ascii="Courier New" w:cs="Courier New" w:eastAsia="Courier New" w:hAnsi="Courier New"/>
          <w:sz w:val="15"/>
          <w:szCs w:val="15"/>
          <w:color w:val="auto"/>
        </w:rPr>
      </w:pPr>
    </w:p>
    <w:p>
      <w:pPr>
        <w:ind w:left="1100" w:right="2939" w:hanging="275"/>
        <w:spacing w:after="0" w:line="251" w:lineRule="auto"/>
        <w:tabs>
          <w:tab w:leader="none" w:pos="11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 applications and business systems: these generally are applications purchased from an external vendor. These systems include applications developed or purchased by a functional area on computer systems located within Regeneron's corporate departments and operated by departmental personnel, such as Regeneron's core business systems (including financial systems) and personnel management systems.</w:t>
      </w:r>
    </w:p>
    <w:p>
      <w:pPr>
        <w:spacing w:after="0" w:line="176" w:lineRule="exact"/>
        <w:rPr>
          <w:sz w:val="20"/>
          <w:szCs w:val="20"/>
          <w:color w:val="auto"/>
        </w:rPr>
      </w:pPr>
    </w:p>
    <w:p>
      <w:pPr>
        <w:ind w:right="3219"/>
        <w:spacing w:after="0" w:line="252" w:lineRule="auto"/>
        <w:rPr>
          <w:sz w:val="20"/>
          <w:szCs w:val="20"/>
          <w:color w:val="auto"/>
        </w:rPr>
      </w:pPr>
      <w:r>
        <w:rPr>
          <w:rFonts w:ascii="Courier New" w:cs="Courier New" w:eastAsia="Courier New" w:hAnsi="Courier New"/>
          <w:sz w:val="15"/>
          <w:szCs w:val="15"/>
          <w:color w:val="auto"/>
        </w:rPr>
        <w:t>The Company has substantially completed an analysis of its computer systems. This analysis has not revealed material Year 2000 problems related to such embedded systems.</w:t>
      </w:r>
    </w:p>
    <w:p>
      <w:pPr>
        <w:spacing w:after="0" w:line="17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Company has also substantially completed a survey and analysis of its vendors who support critical business processes to determine their level of readiness with respect to Year 2000 issues. While many vendors indicate that they believe they are or will be Year 2000 compliant, others state that they cannot represent that they have achieved compliance or guarantee the efficacy of their remediation efforts. Many vendors state that the problem is too complex for such a claim to have legitimacy; that efforts to solve Year 2000 problems are merely in the nature of risk mitigation; and that success in such efforts will be measured, with hindsight, by the minimization of the level of technical failures and by the prompt identification and repair of failures.</w:t>
      </w:r>
    </w:p>
    <w:p>
      <w:pPr>
        <w:spacing w:after="0" w:line="182"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analysis of the Company's embedded systems and the information collected regarding vendor readiness have been used to formulate a contingency plan with respect to reasonably identifiable items of equipment and materials that are critical to the Company's operations. No assurance can be made that the Company's computer systems and software, embedded systems in non-computer equipment, and vendors will be Year 2000 compliant in a timely or cost-effective manner. In some cases, Regeneron plans to stock extra inventory and qualify alternate suppliers, although the Company cannot guarantee the availability of additional supplies or the Year 2000 compliance of alternate suppliers. The failure of suppliers to become Year 2000 compliant on a timely basis, or at all, could have a material adverse effect on the Company. The failure of certain third</w:t>
      </w:r>
    </w:p>
    <w:p>
      <w:pPr>
        <w:spacing w:after="0" w:line="36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50" w:right="1440" w:bottom="1440" w:gutter="0" w:footer="0" w:header="0"/>
        </w:sectPr>
      </w:pPr>
    </w:p>
    <w:bookmarkStart w:id="22" w:name="page23"/>
    <w:bookmarkEnd w:id="22"/>
    <w:p>
      <w:pPr>
        <w:ind w:right="2839"/>
        <w:spacing w:after="0" w:line="251" w:lineRule="auto"/>
        <w:rPr>
          <w:sz w:val="20"/>
          <w:szCs w:val="20"/>
          <w:color w:val="auto"/>
        </w:rPr>
      </w:pPr>
      <w:r>
        <w:rPr>
          <w:rFonts w:ascii="Courier New" w:cs="Courier New" w:eastAsia="Courier New" w:hAnsi="Courier New"/>
          <w:sz w:val="15"/>
          <w:szCs w:val="15"/>
          <w:color w:val="auto"/>
        </w:rPr>
        <w:t>parties (such as Procter &amp; Gamble, Amgen, Sumitomo Pharmaceuticals, Merck, and utility and communications companies) to operate in a normal and customary manner and to maintain Year 2000 compliance (or to assure that their vendors and suppliers are Year 2000 compliant) could have a material adverse effect on the operations and financial condition of Regeneron. It is possible that Regeneron could be adversely affected by the failure of other third parties to be Year 2000 compliant even though these third parties do not directly conduct business with Regeneron. It is not possible to guarantee that the Company's Year 2000 contingency plan will succeed or be timely.</w:t>
      </w:r>
    </w:p>
    <w:p>
      <w:pPr>
        <w:spacing w:after="0" w:line="17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Regeneron is developing a "most reasonably likely worst case Year 2000 scenario" and identifying the principal risks to Regeneron. In developing this scenario, Regeneron assumed, among other things, that any Year 2000 disruptions are likely to be of limited duration (and that extended material Year</w:t>
      </w:r>
    </w:p>
    <w:p>
      <w:pPr>
        <w:spacing w:after="0" w:line="2"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2000-related disruptions can not be reasonably guarded against based on the resources and nature of operations of the Company), the Company plans to protect against, avoid, or reduce exposure to Year 2000 disruptions by not conducting or minimizing activities between December 31, 1999 and January 2, 2000, and the most reasonably likely worst case Year 2000 scenario is that there is a local or regional power failure or an unanticipated failure of certain key equipment to function properly in early 2000. A failure of electrical power (for any cause, regardless of the risk potentially created by Year 2000 problems) to provide power to and heat or cool the Company's facilities and to maintain the temperature of the Company's storage units could materially adversely affect Regeneron's operations and financial condition. The Company is in the process of implementing contingency plans to protect certain key Regeneron assets in the event of a failure of electrical power for a limited duration or unanticipated failure of certain essential equipment. The Company anticipates implementing its contingency plan by December 1999. The risks that Year 2000 problems could present to the Company include, without limitation, disruption, delay, or cessation of manufacturing or other operations, including operations that are subject to regulatory compliance, and loss of research and manufacturing material and experiments that are difficult, costly, or impossible to replace. In each case, the correction of the problem could result in substantial expense and disruption or delay of the Company's operations. It is unclear to what extent, if any, such losses or expenses would be covered by the Company's current insurance policies. The Company does not plan on securing additional insurance specifically related to Year 2000 risks.</w:t>
      </w:r>
    </w:p>
    <w:p>
      <w:pPr>
        <w:spacing w:after="0" w:line="188"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As of September 30, 1999, total projected expenditures related to the Company's Year 2000 program, including, without limitation, back-up generators, anticipated upgrades, remediation, and new computer systems, are less than $1.0 million, most of which are expected to be for capital expenditures. However, these amounts are only estimates and are based on information currently available to the Company; the Company cannot guarantee that these amounts will be adequate to address the Company's Year 2000 compliance needs. As of September 30, 1999, the Company estimates that it has incurred approximately $0.1 million of expenses specifically related to its Year 2000 efforts, including without limitation, dedicated internal staff costs, outside consulting fees, and computer system upgrades.</w:t>
      </w:r>
    </w:p>
    <w:p>
      <w:pPr>
        <w:spacing w:after="0" w:line="18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statements concerning the Year 2000 problem which are not historical facts are forward-looking statements that involve risks and uncertainties that could cause actual results to differ materially from those in the forward-looking statements. There can be no guarantee that any estimates or other forward-looking statements will be achieved and actual results could differ significantly from those planned or contemplated.</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50" w:right="1440" w:bottom="1440" w:gutter="0" w:footer="0" w:header="0"/>
        </w:sectPr>
      </w:pPr>
    </w:p>
    <w:bookmarkStart w:id="23" w:name="page24"/>
    <w:bookmarkEnd w:id="23"/>
    <w:p>
      <w:pPr>
        <w:ind w:right="2939"/>
        <w:spacing w:after="0" w:line="253" w:lineRule="auto"/>
        <w:rPr>
          <w:sz w:val="20"/>
          <w:szCs w:val="20"/>
          <w:color w:val="auto"/>
        </w:rPr>
      </w:pPr>
      <w:r>
        <w:rPr>
          <w:rFonts w:ascii="Courier New" w:cs="Courier New" w:eastAsia="Courier New" w:hAnsi="Courier New"/>
          <w:sz w:val="15"/>
          <w:szCs w:val="15"/>
          <w:color w:val="auto"/>
        </w:rPr>
        <w:t>The Company plans to update the status of its Year 2000 program as necessary in its periodic filings and in accordance with applicable securities laws.</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50" w:right="1440" w:bottom="1440" w:gutter="0" w:footer="0" w:header="0"/>
        </w:sectPr>
      </w:pPr>
    </w:p>
    <w:bookmarkStart w:id="24" w:name="page25"/>
    <w:bookmarkEnd w:id="24"/>
    <w:p>
      <w:pPr>
        <w:ind w:left="5"/>
        <w:spacing w:after="0"/>
        <w:rPr>
          <w:sz w:val="20"/>
          <w:szCs w:val="20"/>
          <w:color w:val="auto"/>
        </w:rPr>
      </w:pPr>
      <w:r>
        <w:rPr>
          <w:rFonts w:ascii="Courier New" w:cs="Courier New" w:eastAsia="Courier New" w:hAnsi="Courier New"/>
          <w:sz w:val="15"/>
          <w:szCs w:val="15"/>
          <w:color w:val="auto"/>
        </w:rPr>
        <w:t>PART II. OTHER INFORMATION</w:t>
      </w:r>
    </w:p>
    <w:p>
      <w:pPr>
        <w:spacing w:after="0" w:line="185" w:lineRule="exact"/>
        <w:rPr>
          <w:sz w:val="20"/>
          <w:szCs w:val="20"/>
          <w:color w:val="auto"/>
        </w:rPr>
      </w:pPr>
    </w:p>
    <w:p>
      <w:pPr>
        <w:ind w:left="5"/>
        <w:spacing w:after="0"/>
        <w:tabs>
          <w:tab w:leader="none" w:pos="805" w:val="left"/>
        </w:tabs>
        <w:rPr>
          <w:sz w:val="20"/>
          <w:szCs w:val="20"/>
          <w:color w:val="auto"/>
        </w:rPr>
      </w:pPr>
      <w:r>
        <w:rPr>
          <w:rFonts w:ascii="Courier New" w:cs="Courier New" w:eastAsia="Courier New" w:hAnsi="Courier New"/>
          <w:sz w:val="15"/>
          <w:szCs w:val="15"/>
          <w:color w:val="auto"/>
        </w:rPr>
        <w:t>ITEM 6.</w:t>
        <w:tab/>
        <w:t>EXHIBITS AND REPORTS ON FORM 8-K</w:t>
      </w:r>
    </w:p>
    <w:p>
      <w:pPr>
        <w:spacing w:after="0" w:line="185" w:lineRule="exact"/>
        <w:rPr>
          <w:sz w:val="20"/>
          <w:szCs w:val="20"/>
          <w:color w:val="auto"/>
        </w:rPr>
      </w:pPr>
    </w:p>
    <w:p>
      <w:pPr>
        <w:ind w:left="825" w:hanging="825"/>
        <w:spacing w:after="0"/>
        <w:tabs>
          <w:tab w:leader="none" w:pos="82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85" w:lineRule="exact"/>
        <w:rPr>
          <w:sz w:val="20"/>
          <w:szCs w:val="20"/>
          <w:color w:val="auto"/>
        </w:rPr>
      </w:pPr>
    </w:p>
    <w:p>
      <w:pPr>
        <w:ind w:left="1665"/>
        <w:spacing w:after="0"/>
        <w:tabs>
          <w:tab w:leader="none" w:pos="2465"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pacing w:after="0" w:line="185" w:lineRule="exact"/>
        <w:rPr>
          <w:sz w:val="20"/>
          <w:szCs w:val="20"/>
          <w:color w:val="auto"/>
        </w:rPr>
      </w:pPr>
    </w:p>
    <w:p>
      <w:pPr>
        <w:ind w:left="825" w:hanging="825"/>
        <w:spacing w:after="0"/>
        <w:tabs>
          <w:tab w:leader="none" w:pos="82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w:t>
      </w:r>
    </w:p>
    <w:p>
      <w:pPr>
        <w:spacing w:after="0" w:line="185" w:lineRule="exact"/>
        <w:rPr>
          <w:sz w:val="20"/>
          <w:szCs w:val="20"/>
          <w:color w:val="auto"/>
        </w:rPr>
      </w:pPr>
    </w:p>
    <w:p>
      <w:pPr>
        <w:ind w:left="1665" w:right="2839"/>
        <w:spacing w:after="0" w:line="253" w:lineRule="auto"/>
        <w:rPr>
          <w:sz w:val="20"/>
          <w:szCs w:val="20"/>
          <w:color w:val="auto"/>
        </w:rPr>
      </w:pPr>
      <w:r>
        <w:rPr>
          <w:rFonts w:ascii="Courier New" w:cs="Courier New" w:eastAsia="Courier New" w:hAnsi="Courier New"/>
          <w:sz w:val="15"/>
          <w:szCs w:val="15"/>
          <w:color w:val="auto"/>
        </w:rPr>
        <w:t>No reports on Form 8-K were filed by the Registrant during the quarter ended September 30, 1999.</w:t>
      </w:r>
    </w:p>
    <w:p>
      <w:pPr>
        <w:spacing w:after="0" w:line="17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5"/>
          </w:cols>
          <w:pgMar w:left="235" w:top="650" w:right="1440" w:bottom="1440" w:gutter="0" w:footer="0" w:header="0"/>
        </w:sectPr>
      </w:pPr>
    </w:p>
    <w:bookmarkStart w:id="25" w:name="page26"/>
    <w:bookmarkEnd w:id="25"/>
    <w:p>
      <w:pPr>
        <w:ind w:left="3320"/>
        <w:spacing w:after="0"/>
        <w:rPr>
          <w:sz w:val="20"/>
          <w:szCs w:val="20"/>
          <w:color w:val="auto"/>
        </w:rPr>
      </w:pPr>
      <w:r>
        <w:rPr>
          <w:rFonts w:ascii="Courier New" w:cs="Courier New" w:eastAsia="Courier New" w:hAnsi="Courier New"/>
          <w:sz w:val="15"/>
          <w:szCs w:val="15"/>
          <w:color w:val="auto"/>
        </w:rPr>
        <w:t>SIGNATURE</w:t>
      </w:r>
    </w:p>
    <w:p>
      <w:pPr>
        <w:spacing w:after="0" w:line="185" w:lineRule="exact"/>
        <w:rPr>
          <w:sz w:val="20"/>
          <w:szCs w:val="20"/>
          <w:color w:val="auto"/>
        </w:rPr>
      </w:pPr>
    </w:p>
    <w:p>
      <w:pPr>
        <w:jc w:val="both"/>
        <w:ind w:right="3579"/>
        <w:spacing w:after="0" w:line="252"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Regeneron Pharmaceuticals, Inc.</w:t>
      </w:r>
    </w:p>
    <w:p>
      <w:pPr>
        <w:sectPr>
          <w:pgSz w:w="11900" w:h="16838" w:orient="portrait"/>
          <w:cols w:equalWidth="0" w:num="1">
            <w:col w:w="10219"/>
          </w:cols>
          <w:pgMar w:left="240" w:top="650" w:right="1440" w:bottom="1440" w:gutter="0" w:footer="0" w:header="0"/>
        </w:sectPr>
      </w:pPr>
    </w:p>
    <w:p>
      <w:pPr>
        <w:spacing w:after="0" w:line="185" w:lineRule="exact"/>
        <w:rPr>
          <w:sz w:val="20"/>
          <w:szCs w:val="20"/>
          <w:color w:val="auto"/>
        </w:rPr>
      </w:pPr>
    </w:p>
    <w:p>
      <w:pPr>
        <w:jc w:val="right"/>
        <w:ind w:right="480"/>
        <w:spacing w:after="0" w:line="253" w:lineRule="auto"/>
        <w:rPr>
          <w:sz w:val="20"/>
          <w:szCs w:val="20"/>
          <w:color w:val="auto"/>
        </w:rPr>
      </w:pPr>
      <w:r>
        <w:rPr>
          <w:rFonts w:ascii="Courier New" w:cs="Courier New" w:eastAsia="Courier New" w:hAnsi="Courier New"/>
          <w:sz w:val="15"/>
          <w:szCs w:val="15"/>
          <w:color w:val="auto"/>
        </w:rPr>
        <w:t>Date: November 9, 1999 -----------------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Murray A. Goldberg</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Murray A. Goldberg</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Vice President, Finance &amp; Administration,</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Chief Financial Officer, and Treasurer</w:t>
      </w:r>
    </w:p>
    <w:p>
      <w:pPr>
        <w:spacing w:after="0" w:line="185" w:lineRule="exact"/>
        <w:rPr>
          <w:sz w:val="20"/>
          <w:szCs w:val="20"/>
          <w:color w:val="auto"/>
        </w:rPr>
      </w:pPr>
    </w:p>
    <w:p>
      <w:pPr>
        <w:sectPr>
          <w:pgSz w:w="11900" w:h="16838" w:orient="portrait"/>
          <w:cols w:equalWidth="0" w:num="2">
            <w:col w:w="2500" w:space="720"/>
            <w:col w:w="6999"/>
          </w:cols>
          <w:pgMar w:left="240" w:top="650" w:right="1440" w:bottom="1440" w:gutter="0" w:footer="0" w:header="0"/>
          <w:type w:val="continuous"/>
        </w:sectPr>
      </w:pPr>
    </w:p>
    <w:p>
      <w:pPr>
        <w:ind w:left="36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50" w:right="1440" w:bottom="1440" w:gutter="0" w:footer="0" w:header="0"/>
          <w:type w:val="continuous"/>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62"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9-MOS</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DEC-31-1999</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JAN-01-1999</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SEP-30-1999</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23,525</w:t>
      </w:r>
    </w:p>
    <w:p>
      <w:pPr>
        <w:spacing w:after="0" w:line="8"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63,908</w:t>
      </w:r>
    </w:p>
    <w:p>
      <w:pPr>
        <w:spacing w:after="0" w:line="8"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8,656</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74,281</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64,142</w:t>
      </w:r>
    </w:p>
    <w:p>
      <w:pPr>
        <w:spacing w:after="0" w:line="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29,066</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134,380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8,873</w:t>
      </w:r>
    </w:p>
    <w:p>
      <w:pPr>
        <w:spacing w:after="0" w:line="8" w:lineRule="exact"/>
        <w:rPr>
          <w:sz w:val="20"/>
          <w:szCs w:val="20"/>
          <w:color w:val="auto"/>
        </w:rPr>
      </w:pPr>
    </w:p>
    <w:p>
      <w:pPr>
        <w:jc w:val="center"/>
        <w:ind w:right="439"/>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32</w:t>
      </w:r>
    </w:p>
    <w:p>
      <w:pPr>
        <w:spacing w:after="0" w:line="8"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110,495</w:t>
      </w:r>
    </w:p>
    <w:p>
      <w:pPr>
        <w:spacing w:after="0" w:line="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134,380</w:t>
      </w:r>
    </w:p>
    <w:p>
      <w:pPr>
        <w:spacing w:after="0" w:line="8" w:lineRule="exact"/>
        <w:rPr>
          <w:sz w:val="20"/>
          <w:szCs w:val="20"/>
          <w:color w:val="auto"/>
        </w:rPr>
      </w:pPr>
    </w:p>
    <w:p>
      <w:pPr>
        <w:jc w:val="center"/>
        <w:ind w:right="439"/>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26,624</w:t>
      </w:r>
    </w:p>
    <w:p>
      <w:pPr>
        <w:spacing w:after="0" w:line="8"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jc w:val="right"/>
        <w:ind w:right="6079"/>
        <w:spacing w:after="0"/>
        <w:rPr>
          <w:sz w:val="20"/>
          <w:szCs w:val="20"/>
          <w:color w:val="auto"/>
        </w:rPr>
      </w:pPr>
      <w:r>
        <w:rPr>
          <w:rFonts w:ascii="Courier New" w:cs="Courier New" w:eastAsia="Courier New" w:hAnsi="Courier New"/>
          <w:sz w:val="15"/>
          <w:szCs w:val="15"/>
          <w:color w:val="auto"/>
        </w:rPr>
        <w:t>48,067</w:t>
      </w:r>
    </w:p>
    <w:p>
      <w:pPr>
        <w:spacing w:after="0" w:line="8" w:lineRule="exact"/>
        <w:rPr>
          <w:sz w:val="20"/>
          <w:szCs w:val="20"/>
          <w:color w:val="auto"/>
        </w:rPr>
      </w:pPr>
    </w:p>
    <w:p>
      <w:pPr>
        <w:jc w:val="right"/>
        <w:ind w:right="6079"/>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245</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(21,688)</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(21,688)</w:t>
      </w:r>
    </w:p>
    <w:p>
      <w:pPr>
        <w:spacing w:after="0" w:line="8"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5"/>
          <w:szCs w:val="15"/>
          <w:color w:val="auto"/>
        </w:rPr>
        <w:t>(21,688)</w:t>
      </w:r>
    </w:p>
    <w:p>
      <w:pPr>
        <w:spacing w:after="0" w:line="8"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5"/>
          <w:szCs w:val="15"/>
          <w:color w:val="auto"/>
        </w:rPr>
        <w:t>(0.69)</w:t>
      </w:r>
    </w:p>
    <w:p>
      <w:pPr>
        <w:spacing w:after="0" w:line="8"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5"/>
          <w:szCs w:val="15"/>
          <w:color w:val="auto"/>
        </w:rPr>
        <w:t>(0.69)</w:t>
      </w:r>
    </w:p>
    <w:sectPr>
      <w:pgSz w:w="11900" w:h="16838" w:orient="portrait"/>
      <w:cols w:equalWidth="0" w:num="1">
        <w:col w:w="10139"/>
      </w:cols>
      <w:pgMar w:left="320" w:top="6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decimal"/>
      <w:start w:val="6"/>
    </w:lvl>
  </w:abstractNum>
  <w:abstractNum w:abstractNumId="7">
    <w:nsid w:val="66EF438D"/>
    <w:multiLevelType w:val="hybridMultilevel"/>
    <w:lvl w:ilvl="0">
      <w:lvlJc w:val="left"/>
      <w:lvlText w:val="%1."/>
      <w:numFmt w:val="decimal"/>
      <w:start w:val="7"/>
    </w:lvl>
  </w:abstractNum>
  <w:abstractNum w:abstractNumId="8">
    <w:nsid w:val="140E0F76"/>
    <w:multiLevelType w:val="hybridMultilevel"/>
    <w:lvl w:ilvl="0">
      <w:lvlJc w:val="left"/>
      <w:lvlText w:val="o"/>
      <w:numFmt w:val="bullet"/>
      <w:start w:val="1"/>
    </w:lvl>
  </w:abstractNum>
  <w:abstractNum w:abstractNumId="9">
    <w:nsid w:val="3352255A"/>
    <w:multiLevelType w:val="hybridMultilevel"/>
    <w:lvl w:ilvl="0">
      <w:lvlJc w:val="left"/>
      <w:lvlText w:val="%1"/>
      <w:numFmt w:val="upperLetter"/>
      <w:start w:val="35"/>
    </w:lvl>
  </w:abstractNum>
  <w:abstractNum w:abstractNumId="10">
    <w:nsid w:val="109CF92E"/>
    <w:multiLevelType w:val="hybridMultilevel"/>
    <w:lvl w:ilvl="0">
      <w:lvlJc w:val="left"/>
      <w:lvlText w:val="o"/>
      <w:numFmt w:val="bullet"/>
      <w:start w:val="1"/>
    </w:lvl>
  </w:abstractNum>
  <w:abstractNum w:abstractNumId="11">
    <w:nsid w:val="DED7263"/>
    <w:multiLevelType w:val="hybridMultilevel"/>
    <w:lvl w:ilvl="0">
      <w:lvlJc w:val="left"/>
      <w:lvlText w:val="o"/>
      <w:numFmt w:val="bullet"/>
      <w:start w:val="1"/>
    </w:lvl>
  </w:abstractNum>
  <w:abstractNum w:abstractNumId="12">
    <w:nsid w:val="7FDCC233"/>
    <w:multiLevelType w:val="hybridMultilevel"/>
    <w:lvl w:ilvl="0">
      <w:lvlJc w:val="left"/>
      <w:lvlText w:val="o"/>
      <w:numFmt w:val="bullet"/>
      <w:start w:val="1"/>
    </w:lvl>
  </w:abstractNum>
  <w:abstractNum w:abstractNumId="13">
    <w:nsid w:val="1BEFD79F"/>
    <w:multiLevelType w:val="hybridMultilevel"/>
    <w:lvl w:ilvl="0">
      <w:lvlJc w:val="left"/>
      <w:lvlText w:val="o"/>
      <w:numFmt w:val="bullet"/>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2020-02-22T16:48:49Z</dcterms:created>
  <dcterms:modified xsi:type="dcterms:W3CDTF">2020-02-22T16:48:49Z</dcterms:modified>
</cp:coreProperties>
</file>