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7270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727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2">
            <w:col w:w="2240" w:space="440"/>
            <w:col w:w="8320"/>
          </w:cols>
          <w:pgMar w:left="460" w:top="226" w:right="4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RYAN ARTHUR F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80" w:right="34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75" w:orient="portrait"/>
          <w:cols w:equalWidth="0" w:num="2">
            <w:col w:w="3760" w:space="80"/>
            <w:col w:w="7160"/>
          </w:cols>
          <w:pgMar w:left="460" w:top="226" w:right="439" w:bottom="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3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710.09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711.95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713.82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18,839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714.65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715.23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18,822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716.74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18,793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717.57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718.71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719.36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720.15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 adopted on August 4,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July 3, 2023 at prices ranging from $714.17 to $714.93. Upon request by the Commission staff, the Company, or a security holder of the Company, the reporting person will provide full information regarding the number of shares sold by the reporting person on July 3, 2023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July 3, 2023 at prices ranging from $715.02 to $715.70. Upon request by the Commission staff, the Company, or a security holder of the Company, the reporting person will provide full information regarding the number of shares sold by the reporting person on July 3, 2023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29 shares of Company stock on July 3, 2023 at prices ranging from $716.09 to $716.98. Upon request by the Commission staff, the Company, or a security holder of the Company, the reporting person will provide full information regarding the number of shares sold by the reporting person on July 3, 2023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 shares of Company stock on July 3, 2023 at prices ranging from $717.22 to $717.91. Upon request by the Commission staff, the Company, or a security holder of the Company, the reporting person will provide full information regarding the number of shares sold by the reporting person on July 3, 2023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July 3, 2023 at prices ranging from $718.47 to $718.90. Upon request by the Commission staff, the Company, or a security holder of the Company, the reporting person will provide full information regarding the number of shares sold by the reporting person on July 3, 2023 at each separate price.</w:t>
      </w:r>
    </w:p>
    <w:p>
      <w:pPr>
        <w:ind w:left="40" w:right="1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July 3, 2023 at prices ranging from $719.05 to $719.56. Upon request by the Commission staff, the Company, or a security holder of the Company, the reporting person will provide full information regarding the number of shares sold by the reporting person on July 3, 2023 at each separate price.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75" w:orient="portrait"/>
          <w:cols w:equalWidth="0" w:num="1">
            <w:col w:w="11000"/>
          </w:cols>
          <w:pgMar w:left="460" w:top="226" w:right="43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ectPr>
          <w:pgSz w:w="11900" w:h="16875" w:orient="portrait"/>
          <w:cols w:equalWidth="0" w:num="1">
            <w:col w:w="11000"/>
          </w:cols>
          <w:pgMar w:left="460" w:top="226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0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500" w:top="142" w:right="10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2023-07-06T15:09:01Z</dcterms:created>
  <dcterms:modified xsi:type="dcterms:W3CDTF">2023-07-06T15:09:01Z</dcterms:modified>
</cp:coreProperties>
</file>