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 w:after="283"/>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30, 2026</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40"/>
        </w:rPr>
      </w:pPr>
      <w:r>
        <w:rPr>
          <w:rFonts w:ascii="Times New Roman;serif" w:hAnsi="Times New Roman;serif"/>
          <w:b/>
          <w:color w:val="000000"/>
          <w:sz w:val="40"/>
        </w:rPr>
        <w:t xml:space="preserve">REGENERON PHARMACEUTICALS, INC. </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843" w:type="dxa"/>
        <w:jc w:val="center"/>
        <w:tblInd w:w="0" w:type="dxa"/>
        <w:tblLayout w:type="fixed"/>
        <w:tblCellMar>
          <w:top w:w="28" w:type="dxa"/>
          <w:left w:w="28" w:type="dxa"/>
          <w:bottom w:w="28" w:type="dxa"/>
          <w:right w:w="28" w:type="dxa"/>
        </w:tblCellMar>
      </w:tblPr>
      <w:tblGrid>
        <w:gridCol w:w="1148"/>
        <w:gridCol w:w="1011"/>
        <w:gridCol w:w="1020"/>
        <w:gridCol w:w="332"/>
        <w:gridCol w:w="332"/>
        <w:gridCol w:w="332"/>
        <w:gridCol w:w="332"/>
        <w:gridCol w:w="332"/>
        <w:gridCol w:w="334"/>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New York</w:t>
            </w:r>
          </w:p>
        </w:tc>
        <w:tc>
          <w:tcPr>
            <w:tcW w:w="1994" w:type="dxa"/>
            <w:gridSpan w:val="6"/>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000-19034</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13-3444607</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5648" w:type="dxa"/>
        <w:jc w:val="center"/>
        <w:tblInd w:w="0" w:type="dxa"/>
        <w:tblLayout w:type="fixed"/>
        <w:tblCellMar>
          <w:top w:w="28" w:type="dxa"/>
          <w:left w:w="28" w:type="dxa"/>
          <w:bottom w:w="28" w:type="dxa"/>
          <w:right w:w="28" w:type="dxa"/>
        </w:tblCellMar>
      </w:tblPr>
      <w:tblGrid>
        <w:gridCol w:w="512"/>
        <w:gridCol w:w="450"/>
        <w:gridCol w:w="450"/>
        <w:gridCol w:w="450"/>
        <w:gridCol w:w="450"/>
        <w:gridCol w:w="450"/>
        <w:gridCol w:w="450"/>
        <w:gridCol w:w="450"/>
        <w:gridCol w:w="450"/>
        <w:gridCol w:w="450"/>
        <w:gridCol w:w="450"/>
        <w:gridCol w:w="636"/>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56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777 Old Saw Mill River Road, Tarrytown, New York 10591-6707</w:t>
            </w:r>
          </w:p>
        </w:tc>
      </w:tr>
      <w:tr>
        <w:trPr/>
        <w:tc>
          <w:tcPr>
            <w:tcW w:w="5648" w:type="dxa"/>
            <w:gridSpan w:val="12"/>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bl>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(914) 847-7000 </w:t>
      </w:r>
    </w:p>
    <w:p>
      <w:pPr>
        <w:pStyle w:val="TextBody"/>
        <w:bidi w:val="0"/>
        <w:spacing w:lineRule="auto" w:line="264"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73" w:type="dxa"/>
        <w:jc w:val="center"/>
        <w:tblInd w:w="0" w:type="dxa"/>
        <w:tblLayout w:type="fixed"/>
        <w:tblCellMar>
          <w:top w:w="28" w:type="dxa"/>
          <w:left w:w="28" w:type="dxa"/>
          <w:bottom w:w="28" w:type="dxa"/>
          <w:right w:w="28" w:type="dxa"/>
        </w:tblCellMar>
      </w:tblPr>
      <w:tblGrid>
        <w:gridCol w:w="1343"/>
        <w:gridCol w:w="1181"/>
        <w:gridCol w:w="1195"/>
        <w:gridCol w:w="534"/>
        <w:gridCol w:w="534"/>
        <w:gridCol w:w="536"/>
        <w:gridCol w:w="1095"/>
        <w:gridCol w:w="1095"/>
        <w:gridCol w:w="1560"/>
      </w:tblGrid>
      <w:tr>
        <w:trPr/>
        <w:tc>
          <w:tcPr>
            <w:tcW w:w="134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u w:val="single"/>
              </w:rPr>
            </w:pPr>
            <w:r>
              <w:rPr>
                <w:rFonts w:ascii="Times New Roman;serif" w:hAnsi="Times New Roman;serif"/>
                <w:b w:val="false"/>
                <w:i/>
                <w:color w:val="000000"/>
                <w:sz w:val="20"/>
                <w:u w:val="single"/>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u w:val="single"/>
              </w:rPr>
            </w:pPr>
            <w:r>
              <w:rPr>
                <w:rFonts w:ascii="Times New Roman;serif" w:hAnsi="Times New Roman;serif"/>
                <w:b w:val="false"/>
                <w:i/>
                <w:color w:val="000000"/>
                <w:sz w:val="20"/>
                <w:u w:val="single"/>
              </w:rPr>
              <w:t>Trading Symbol(s)</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u w:val="single"/>
              </w:rPr>
            </w:pPr>
            <w:r>
              <w:rPr>
                <w:rFonts w:ascii="Times New Roman;serif" w:hAnsi="Times New Roman;serif"/>
                <w:b w:val="false"/>
                <w:i/>
                <w:color w:val="000000"/>
                <w:sz w:val="20"/>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REGN</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Item 2.02</w:t>
      </w:r>
      <w:r>
        <w:rPr>
          <w:color w:val="000000"/>
        </w:rPr>
        <w:t>    </w:t>
      </w:r>
      <w:r>
        <w:rPr>
          <w:rFonts w:ascii="Times New Roman;serif" w:hAnsi="Times New Roman;serif"/>
          <w:b/>
          <w:color w:val="000000"/>
          <w:sz w:val="20"/>
        </w:rPr>
        <w:t>Results of Operations and Financial Condition.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On July 30, 2026, Regeneron Pharmaceuticals, Inc. issued a press release announcing its financial and operating results for the quarter ended June 30, 2026. A copy of the press release is being furnished to the Securities and Exchange Commission as Exhibit 99.1 to this Current Report on Form 8-K and is incorporated by reference to this Item 2.02.</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pStyle w:val="TextBody"/>
        <w:bidi w:val="0"/>
        <w:spacing w:before="0" w:after="0"/>
        <w:ind w:left="0" w:right="0" w:firstLine="270"/>
        <w:jc w:val="left"/>
        <w:rPr/>
      </w:pPr>
      <w:r>
        <w:rPr/>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erif" w:hAnsi="Times New Roman;serif"/>
          <w:b/>
          <w:color w:val="000000"/>
          <w:sz w:val="20"/>
          <w:u w:val="single"/>
        </w:rPr>
        <w:t>Item 9.01</w:t>
      </w:r>
      <w:r>
        <w:rPr>
          <w:color w:val="000000"/>
        </w:rPr>
        <w:t>    </w:t>
      </w:r>
      <w:r>
        <w:rPr>
          <w:rFonts w:ascii="Times New Roman;serif" w:hAnsi="Times New Roman;serif"/>
          <w:b/>
          <w:color w:val="000000"/>
          <w:sz w:val="20"/>
        </w:rPr>
        <w:t>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99.1 </w:t>
      </w:r>
      <w:hyperlink w:anchor="exhibit991q22026.htm">
        <w:r>
          <w:rPr>
            <w:rStyle w:val="InternetLink"/>
            <w:rFonts w:ascii="Times New Roman;serif" w:hAnsi="Times New Roman;serif"/>
            <w:b w:val="false"/>
            <w:color w:val="0000FF"/>
            <w:sz w:val="20"/>
            <w:u w:val="single"/>
          </w:rPr>
          <w:t>Press Release, dated July 30, 2026, Reporting Second Quarter 2026 Financial and Operating Results.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 the cover page XBRL tags are embedded within the Inline XBRL document.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left"/>
        <w:rPr/>
      </w:pPr>
      <w:r>
        <w:rPr/>
      </w:r>
    </w:p>
    <w:p>
      <w:pPr>
        <w:pStyle w:val="TextBody"/>
        <w:bidi w:val="0"/>
        <w:spacing w:lineRule="auto" w:line="288" w:before="0" w:after="60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544" w:type="dxa"/>
        <w:jc w:val="center"/>
        <w:tblInd w:w="0" w:type="dxa"/>
        <w:tblLayout w:type="fixed"/>
        <w:tblCellMar>
          <w:top w:w="28" w:type="dxa"/>
          <w:left w:w="28" w:type="dxa"/>
          <w:bottom w:w="28" w:type="dxa"/>
          <w:right w:w="28" w:type="dxa"/>
        </w:tblCellMar>
      </w:tblPr>
      <w:tblGrid>
        <w:gridCol w:w="124"/>
        <w:gridCol w:w="109"/>
        <w:gridCol w:w="109"/>
        <w:gridCol w:w="564"/>
        <w:gridCol w:w="564"/>
        <w:gridCol w:w="567"/>
        <w:gridCol w:w="579"/>
        <w:gridCol w:w="579"/>
        <w:gridCol w:w="579"/>
        <w:gridCol w:w="1395"/>
        <w:gridCol w:w="1395"/>
        <w:gridCol w:w="1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65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REGENERON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Joseph J. LaRosa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J. LaRosa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right"/>
        <w:rPr>
          <w:color w:val="000000"/>
        </w:rPr>
      </w:pPr>
      <w:r>
        <w:rPr>
          <w:color w:val="000000"/>
        </w:rPr>
        <w:t xml:space="preserve">  </w:t>
      </w:r>
    </w:p>
    <w:p>
      <w:pPr>
        <w:pStyle w:val="TextBody"/>
        <w:bidi w:val="0"/>
        <w:spacing w:before="0" w:after="0"/>
        <w:jc w:val="left"/>
        <w:rPr/>
      </w:pPr>
      <w:r>
        <w:rPr/>
        <w:drawing>
          <wp:inline distT="0" distB="0" distL="0" distR="0">
            <wp:extent cx="1447800" cy="228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47800" cy="22860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5"/>
        </w:rPr>
      </w:pPr>
      <w:r>
        <w:rPr>
          <w:rFonts w:ascii="Arial;sans-serif" w:hAnsi="Arial;sans-serif"/>
          <w:b w:val="false"/>
          <w:color w:val="000000"/>
          <w:sz w:val="25"/>
        </w:rPr>
        <w:t>Press Release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color w:val="0F4DBC"/>
          <w:sz w:val="32"/>
        </w:rPr>
      </w:pPr>
      <w:r>
        <w:rPr>
          <w:rFonts w:ascii="Arial;sans-serif" w:hAnsi="Arial;sans-serif"/>
          <w:b/>
          <w:color w:val="0F4DBC"/>
          <w:sz w:val="32"/>
        </w:rPr>
        <w:t>Regeneron Reports Second Quarter 2026 Financial and Operating Results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Second quarter 2026 revenues increased 17% to $4.3 billion versus second quarter 2025</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Dupixent</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4"/>
        </w:rPr>
        <w:t>global net sales</w:t>
      </w:r>
      <w:r>
        <w:rPr>
          <w:color w:val="000000"/>
        </w:rPr>
        <w:t xml:space="preserve"> </w:t>
      </w:r>
      <w:r>
        <w:rPr>
          <w:rFonts w:ascii="Arial;sans-serif" w:hAnsi="Arial;sans-serif"/>
          <w:b w:val="false"/>
          <w:i/>
          <w:color w:val="000000"/>
          <w:sz w:val="24"/>
        </w:rPr>
        <w:t xml:space="preserve">(recorded by Sanofi) increased 38% to a new all-time high of $6.0 billion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EYLEA HD</w:t>
      </w:r>
      <w:r>
        <w:rPr>
          <w:rFonts w:ascii="Arial;sans-serif" w:hAnsi="Arial;sans-serif"/>
          <w:b w:val="false"/>
          <w:i/>
          <w:color w:val="000000"/>
          <w:sz w:val="13"/>
        </w:rPr>
        <w:t xml:space="preserve">® </w:t>
      </w:r>
      <w:r>
        <w:rPr>
          <w:rFonts w:ascii="Arial;sans-serif" w:hAnsi="Arial;sans-serif"/>
          <w:b w:val="false"/>
          <w:i/>
          <w:color w:val="000000"/>
          <w:sz w:val="24"/>
        </w:rPr>
        <w:t>U.S. net sales increased 52% to a new all-time high of $596 million</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Libtayo</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4"/>
        </w:rPr>
        <w:t>global net sales increased 30% to a new all-time high of $489 million</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GAAP EPS of $12.23, including $1.02 negative impact from IPR&amp;D; non-GAAP EPS</w:t>
      </w:r>
      <w:r>
        <w:rPr>
          <w:rFonts w:ascii="Arial;sans-serif" w:hAnsi="Arial;sans-serif"/>
          <w:b w:val="false"/>
          <w:i/>
          <w:color w:val="000000"/>
          <w:sz w:val="13"/>
        </w:rPr>
        <w:t xml:space="preserve">(a) </w:t>
      </w:r>
      <w:r>
        <w:rPr>
          <w:rFonts w:ascii="Arial;sans-serif" w:hAnsi="Arial;sans-serif"/>
          <w:b w:val="false"/>
          <w:i/>
          <w:color w:val="000000"/>
          <w:sz w:val="24"/>
        </w:rPr>
        <w:t>of $14.29, including $0.99 negative impact from IPR&amp;D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Sanofi Development Balance fully repaid as of end of second quarter 2026</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Cemdisiran regulatory submissions accepted for review by FDA and EMA for treatment of generalized myasthenia gravis (gMG)</w:t>
      </w:r>
    </w:p>
    <w:p>
      <w:pPr>
        <w:pStyle w:val="TextBody"/>
        <w:bidi w:val="0"/>
        <w:spacing w:lineRule="auto" w:line="288" w:before="240" w:after="160"/>
        <w:jc w:val="left"/>
        <w:rPr/>
      </w:pPr>
      <w:r>
        <w:rPr>
          <w:rFonts w:ascii="Arial;sans-serif" w:hAnsi="Arial;sans-serif"/>
          <w:b/>
          <w:color w:val="000000"/>
          <w:sz w:val="24"/>
        </w:rPr>
        <w:t>Tarrytown, New York (July 30, 2026) --</w:t>
      </w:r>
      <w:r>
        <w:rPr>
          <w:color w:val="000000"/>
        </w:rPr>
        <w:t xml:space="preserve"> </w:t>
      </w:r>
      <w:r>
        <w:rPr>
          <w:rFonts w:ascii="Arial;sans-serif" w:hAnsi="Arial;sans-serif"/>
          <w:b w:val="false"/>
          <w:color w:val="000000"/>
          <w:sz w:val="24"/>
        </w:rPr>
        <w:t>Regeneron Pharmaceuticals, Inc. (NASDAQ:</w:t>
      </w:r>
      <w:r>
        <w:rPr>
          <w:color w:val="000000"/>
        </w:rPr>
        <w:t xml:space="preserve"> </w:t>
      </w:r>
      <w:r>
        <w:rPr>
          <w:rFonts w:ascii="Arial;sans-serif" w:hAnsi="Arial;sans-serif"/>
          <w:b/>
          <w:color w:val="000000"/>
          <w:sz w:val="24"/>
        </w:rPr>
        <w:t>REGN</w:t>
      </w:r>
      <w:r>
        <w:rPr>
          <w:rFonts w:ascii="Arial;sans-serif" w:hAnsi="Arial;sans-serif"/>
          <w:b w:val="false"/>
          <w:color w:val="000000"/>
          <w:sz w:val="24"/>
        </w:rPr>
        <w:t>)</w:t>
      </w:r>
      <w:r>
        <w:rPr>
          <w:color w:val="000000"/>
        </w:rPr>
        <w:t xml:space="preserve"> </w:t>
      </w:r>
      <w:r>
        <w:rPr>
          <w:rFonts w:ascii="Arial;sans-serif" w:hAnsi="Arial;sans-serif"/>
          <w:b w:val="false"/>
          <w:color w:val="000000"/>
          <w:sz w:val="24"/>
        </w:rPr>
        <w:t>today announced financial results for the second quarter of 2026 and provided a business update.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"Regeneron delivered another quarter of strong financial performance, with double-digit top- and bottom-line growth reflecting the continued strength of our commercial portfolio and the potential of our pipeline," said Leonard S. Schleifer, M.D., Ph.D., Board co-Chair, President and Chief Executive Officer of Regeneron. "Of note, global Dupixent, global Libtayo, and U.S. EYLEA HD net product sales increased by 38%, 30%, and 52%, respectively, compared to the second quarter of 2025. With approximately 50 clinical assets, we remain focused on translating our science into even more successful new medicines across a broad array of diseases." </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 xml:space="preserve">Financial Highlights </w:t>
      </w:r>
    </w:p>
    <w:tbl>
      <w:tblPr>
        <w:tblW w:w="8628" w:type="dxa"/>
        <w:jc w:val="left"/>
        <w:tblInd w:w="0" w:type="dxa"/>
        <w:tblLayout w:type="fixed"/>
        <w:tblCellMar>
          <w:top w:w="28" w:type="dxa"/>
          <w:left w:w="28" w:type="dxa"/>
          <w:bottom w:w="28" w:type="dxa"/>
          <w:right w:w="28" w:type="dxa"/>
        </w:tblCellMar>
      </w:tblPr>
      <w:tblGrid>
        <w:gridCol w:w="1573"/>
        <w:gridCol w:w="1385"/>
        <w:gridCol w:w="1391"/>
        <w:gridCol w:w="109"/>
        <w:gridCol w:w="109"/>
        <w:gridCol w:w="109"/>
        <w:gridCol w:w="226"/>
        <w:gridCol w:w="706"/>
        <w:gridCol w:w="109"/>
        <w:gridCol w:w="109"/>
        <w:gridCol w:w="109"/>
        <w:gridCol w:w="109"/>
        <w:gridCol w:w="226"/>
        <w:gridCol w:w="706"/>
        <w:gridCol w:w="109"/>
        <w:gridCol w:w="109"/>
        <w:gridCol w:w="109"/>
        <w:gridCol w:w="109"/>
        <w:gridCol w:w="235"/>
        <w:gridCol w:w="235"/>
        <w:gridCol w:w="746"/>
      </w:tblGrid>
      <w:tr>
        <w:trPr/>
        <w:tc>
          <w:tcPr>
            <w:tcW w:w="15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 net income</w:t>
            </w:r>
            <w:r>
              <w:rPr>
                <w:rFonts w:ascii="Arial;sans-serif" w:hAnsi="Arial;sans-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Non-GAAP net income per share - diluted</w:t>
            </w:r>
            <w:r>
              <w:rPr>
                <w:rFonts w:ascii="Arial;sans-serif" w:hAnsi="Arial;sans-serif"/>
                <w:b w:val="false"/>
                <w:color w:val="000000"/>
                <w:sz w:val="14"/>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"Second quarter revenues grew 17% and non-GAAP net income per share grew 11%, marking our second consecutive quarter of double-digit growth on both measures," said Christopher Fenimore, Executive Vice President, Finance and Chief Financial Officer of Regeneron. "By the end of the second quarter, we had fully repaid the Sanofi Development Balance, which represented the outstanding amount due to Sanofi for their funding of prior collaboration development activities. The repayment of this obligation will drive a meaningful step-up in collaboration profits beginning in the third quarter. Given our strong financial position, we continue to invest confidently in our pipeline, U.S. manufacturing, and external innovation, while returning capital to shareholders, reflected by the nearly $3.0 billion deployed in the first half of the year to share repurchases, dividends, capital expenditures, and business development."</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 xml:space="preserve">Business Highlights </w:t>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Key Pipeline Progress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Regeneron has approximately 50 product candidates in clinical development, including a number of marketed products for which it is investigating additional indications. Updates from the clinical pipeline include:</w:t>
      </w:r>
    </w:p>
    <w:p>
      <w:pPr>
        <w:pStyle w:val="TextBody"/>
        <w:bidi w:val="0"/>
        <w:spacing w:lineRule="auto" w:line="288" w:before="160" w:after="283"/>
        <w:jc w:val="left"/>
        <w:rPr/>
      </w:pPr>
      <w:r>
        <w:rPr>
          <w:rFonts w:ascii="Arial;sans-serif" w:hAnsi="Arial;sans-serif"/>
          <w:b w:val="false"/>
          <w:color w:val="000000"/>
          <w:sz w:val="24"/>
          <w:u w:val="single"/>
        </w:rPr>
        <w:t>Dupixent</w:t>
      </w:r>
      <w:r>
        <w:rPr>
          <w:color w:val="000000"/>
        </w:rPr>
        <w:t xml:space="preserve"> </w:t>
      </w:r>
      <w:r>
        <w:rPr>
          <w:rFonts w:ascii="Arial;sans-serif" w:hAnsi="Arial;sans-serif"/>
          <w:b w:val="false"/>
          <w:color w:val="000000"/>
          <w:sz w:val="24"/>
        </w:rPr>
        <w:t>(dupilumab)</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 April 2026, the U.S. Food and Drug Administration (FDA) and European Commission approved Dupixent for the treatment of chronic spontaneous urticaria (CSU), expanding the eligible population to include children aged 2 to 11 years who remain symptomatic despite antihistamine treatment.</w:t>
      </w:r>
    </w:p>
    <w:p>
      <w:pPr>
        <w:pStyle w:val="TextBody"/>
        <w:bidi w:val="0"/>
        <w:spacing w:lineRule="auto" w:line="288" w:before="160" w:after="283"/>
        <w:jc w:val="left"/>
        <w:rPr/>
      </w:pPr>
      <w:r>
        <w:rPr>
          <w:rFonts w:ascii="Arial;sans-serif" w:hAnsi="Arial;sans-serif"/>
          <w:b w:val="false"/>
          <w:color w:val="000000"/>
          <w:sz w:val="24"/>
          <w:u w:val="single"/>
        </w:rPr>
        <w:t>EYLEA HD</w:t>
      </w:r>
      <w:r>
        <w:rPr>
          <w:color w:val="000000"/>
        </w:rPr>
        <w:t xml:space="preserve"> </w:t>
      </w:r>
      <w:r>
        <w:rPr>
          <w:rFonts w:ascii="Arial;sans-serif" w:hAnsi="Arial;sans-serif"/>
          <w:b w:val="false"/>
          <w:color w:val="000000"/>
          <w:sz w:val="24"/>
        </w:rPr>
        <w:t>(aflibercept) 8 mg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 April 2026, the FDA approved the extension of dosing intervals for EYLEA HD up to every 20 weeks (5 months) for patients with wet age-related macular degeneration (wAMD) and diabetic macular edema (DME) following one year of successful response based on visual and anatomic outcomes.</w:t>
      </w:r>
    </w:p>
    <w:p>
      <w:pPr>
        <w:pStyle w:val="TextBody"/>
        <w:bidi w:val="0"/>
        <w:spacing w:lineRule="auto" w:line="288" w:before="160" w:after="283"/>
        <w:jc w:val="left"/>
        <w:rPr/>
      </w:pPr>
      <w:r>
        <w:rPr>
          <w:rFonts w:ascii="Arial;sans-serif" w:hAnsi="Arial;sans-serif"/>
          <w:b w:val="false"/>
          <w:color w:val="000000"/>
          <w:sz w:val="24"/>
          <w:u w:val="single"/>
        </w:rPr>
        <w:t>Otarmeni</w:t>
      </w:r>
      <w:r>
        <w:rPr>
          <w:color w:val="000000"/>
        </w:rPr>
        <w:t xml:space="preserve">™ </w:t>
      </w:r>
      <w:r>
        <w:rPr>
          <w:rFonts w:ascii="Arial;sans-serif" w:hAnsi="Arial;sans-serif"/>
          <w:b w:val="false"/>
          <w:color w:val="000000"/>
          <w:sz w:val="24"/>
        </w:rPr>
        <w:t>(lunsotogene parvec, formerly known as DB-OTO)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In May 2026, the European Medicines Agency (EMA) accepted for review, under accelerated assessment, the Marketing Authorization Application (MAA) for Otarmeni for the treatment of biallelic </w:t>
      </w:r>
      <w:r>
        <w:rPr>
          <w:rFonts w:ascii="Arial;sans-serif" w:hAnsi="Arial;sans-serif"/>
          <w:b w:val="false"/>
          <w:i/>
          <w:color w:val="000000"/>
          <w:sz w:val="24"/>
        </w:rPr>
        <w:t>OTOF</w:t>
      </w:r>
      <w:r>
        <w:rPr>
          <w:color w:val="000000"/>
        </w:rPr>
        <w:t xml:space="preserve"> </w:t>
      </w:r>
      <w:r>
        <w:rPr>
          <w:rFonts w:ascii="Arial;sans-serif" w:hAnsi="Arial;sans-serif"/>
          <w:b w:val="false"/>
          <w:color w:val="000000"/>
          <w:sz w:val="24"/>
        </w:rPr>
        <w:t>variant-associated hearing loss.</w:t>
      </w:r>
    </w:p>
    <w:p>
      <w:pPr>
        <w:pStyle w:val="TextBody"/>
        <w:bidi w:val="0"/>
        <w:spacing w:lineRule="auto" w:line="288" w:before="160" w:after="283"/>
        <w:jc w:val="left"/>
        <w:rPr/>
      </w:pPr>
      <w:r>
        <w:rPr>
          <w:rFonts w:ascii="Arial;sans-serif" w:hAnsi="Arial;sans-serif"/>
          <w:b w:val="false"/>
          <w:color w:val="000000"/>
          <w:sz w:val="24"/>
          <w:u w:val="single"/>
        </w:rPr>
        <w:t>Fianlimab</w:t>
      </w:r>
      <w:r>
        <w:rPr>
          <w:color w:val="000000"/>
        </w:rPr>
        <w:t xml:space="preserve"> </w:t>
      </w:r>
      <w:r>
        <w:rPr>
          <w:rFonts w:ascii="Arial;sans-serif" w:hAnsi="Arial;sans-serif"/>
          <w:b w:val="false"/>
          <w:color w:val="000000"/>
          <w:sz w:val="24"/>
        </w:rPr>
        <w:t>(LAG-3 antibody)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 May 2026, the Company announced results from the Phase 3 trial evaluating two dose levels of fianlimab in combination with cemiplimab as a first-line treatment for patients with unresectable locally advanced or metastatic melanoma. The trial did not reach statistical significance for the primary endpoint of improvement in progression-free survival (PFS) compared to pembrolizumab monotherapy.</w:t>
      </w:r>
    </w:p>
    <w:p>
      <w:pPr>
        <w:pStyle w:val="TextBody"/>
        <w:bidi w:val="0"/>
        <w:spacing w:lineRule="auto" w:line="288" w:before="160" w:after="283"/>
        <w:jc w:val="left"/>
        <w:rPr>
          <w:rFonts w:ascii="Arial;sans-serif" w:hAnsi="Arial;sans-serif"/>
          <w:b w:val="false"/>
          <w:color w:val="000000"/>
          <w:sz w:val="24"/>
          <w:u w:val="single"/>
        </w:rPr>
      </w:pPr>
      <w:r>
        <w:rPr>
          <w:rFonts w:ascii="Arial;sans-serif" w:hAnsi="Arial;sans-serif"/>
          <w:b w:val="false"/>
          <w:color w:val="000000"/>
          <w:sz w:val="24"/>
          <w:u w:val="single"/>
        </w:rPr>
        <w:t>Other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 June 2026, the Company announced that both the FDA and EMA have accepted the regulatory applications for cemdisiran (C5 RNAi therapy) to treat adult patients with gMG. The FDA will review the New Drug Application (NDA) under priority review with a target action date in November 2026, following use of a Priority Review Voucher. A decision from the European Commission is anticipated in the second half of 2027.</w:t>
      </w:r>
    </w:p>
    <w:p>
      <w:pPr>
        <w:pStyle w:val="TextBody"/>
        <w:bidi w:val="0"/>
        <w:spacing w:lineRule="auto" w:line="288"/>
        <w:ind w:left="0" w:right="0" w:hanging="360"/>
        <w:jc w:val="left"/>
        <w:rPr/>
      </w:pPr>
      <w:r>
        <w:rPr>
          <w:color w:val="000000"/>
        </w:rPr>
        <w:t>•</w:t>
      </w:r>
      <w:r>
        <w:rPr>
          <w:rFonts w:ascii="Arial;sans-serif" w:hAnsi="Arial;sans-serif"/>
          <w:b w:val="false"/>
          <w:color w:val="000000"/>
          <w:sz w:val="24"/>
        </w:rPr>
        <w:t>The Company announced positive results from the Phase 1/2 LINKER-AL2 trial for Lynozyfic</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 xml:space="preserve">(linvoseltamab) in adults with second-line-plus systemic amyloid light chain amyloidosis. The results were presented at the American Society of Clinical Oncology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(ASCO) 2026 Annual Meeting. The Phase 2 portion of the trial with registrational intent, part of a broad clinical development program investigating Lynozyfic, is underway.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A Phase 3 study was initiated in peripheral artery disease (PAD) for cenvacibart (REGN7508, an antibody to Factor XI (catalytic domain)), and amrecibart (REGN9933, an antibody to Factor XI (A2 domain)), to evaluate each antibody individually compared to standard of care.</w:t>
      </w:r>
    </w:p>
    <w:p>
      <w:pPr>
        <w:pStyle w:val="TextBody"/>
        <w:bidi w:val="0"/>
        <w:spacing w:lineRule="auto" w:line="288" w:before="160" w:after="283"/>
        <w:jc w:val="left"/>
        <w:rPr>
          <w:rFonts w:ascii="Arial;sans-serif" w:hAnsi="Arial;sans-serif"/>
          <w:b/>
          <w:color w:val="000000"/>
          <w:sz w:val="24"/>
          <w:u w:val="single"/>
        </w:rPr>
      </w:pPr>
      <w:r>
        <w:rPr>
          <w:rFonts w:ascii="Arial;sans-serif" w:hAnsi="Arial;sans-serif"/>
          <w:b/>
          <w:color w:val="000000"/>
          <w:sz w:val="24"/>
          <w:u w:val="single"/>
        </w:rPr>
        <w:t>Corporate Updates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FDA selected the Company's manufacturing facility in Saratoga Springs, New York, which is currently under construction, to participate in the FDA PreCheck Pilot Program. The FDA PreCheck Pilot Program is intended to support the development of new U.S. pharmaceutical manufacturing facilities by encouraging earlier FDA engagement and providing a more predictable regulatory pathway.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In May 2026, the Company entered into a collaboration with Parabilis Medicines to discover and develop multiple therapeutic candidates based on Parabilis’ Helicon</w:t>
      </w:r>
      <w:r>
        <w:rPr>
          <w:color w:val="000000"/>
        </w:rPr>
        <w:t xml:space="preserve">™ </w:t>
      </w:r>
      <w:r>
        <w:rPr>
          <w:rFonts w:ascii="Arial;sans-serif" w:hAnsi="Arial;sans-serif"/>
          <w:b w:val="false"/>
          <w:color w:val="000000"/>
          <w:sz w:val="24"/>
        </w:rPr>
        <w:t>peptide platform.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Company announced that it had been named to the Dow Jones Best-in-Class World Index, one of the world’s most recognized benchmarks for corporate sustainability performance, for the seventh consecutive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4"/>
          <w:u w:val="single"/>
        </w:rPr>
      </w:pPr>
      <w:r>
        <w:rPr>
          <w:rFonts w:ascii="Arial;sans-serif" w:hAnsi="Arial;sans-serif"/>
          <w:b/>
          <w:color w:val="000000"/>
          <w:sz w:val="24"/>
          <w:u w:val="single"/>
        </w:rPr>
        <w:t>Second Quarter 2026 Financial Results</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Revenues</w:t>
      </w:r>
    </w:p>
    <w:tbl>
      <w:tblPr>
        <w:tblW w:w="7878" w:type="dxa"/>
        <w:jc w:val="left"/>
        <w:tblInd w:w="0" w:type="dxa"/>
        <w:tblLayout w:type="fixed"/>
        <w:tblCellMar>
          <w:top w:w="28" w:type="dxa"/>
          <w:left w:w="28" w:type="dxa"/>
          <w:bottom w:w="28" w:type="dxa"/>
          <w:right w:w="28" w:type="dxa"/>
        </w:tblCellMar>
      </w:tblPr>
      <w:tblGrid>
        <w:gridCol w:w="1304"/>
        <w:gridCol w:w="1142"/>
        <w:gridCol w:w="1153"/>
        <w:gridCol w:w="109"/>
        <w:gridCol w:w="109"/>
        <w:gridCol w:w="109"/>
        <w:gridCol w:w="226"/>
        <w:gridCol w:w="706"/>
        <w:gridCol w:w="109"/>
        <w:gridCol w:w="109"/>
        <w:gridCol w:w="109"/>
        <w:gridCol w:w="109"/>
        <w:gridCol w:w="226"/>
        <w:gridCol w:w="706"/>
        <w:gridCol w:w="109"/>
        <w:gridCol w:w="109"/>
        <w:gridCol w:w="109"/>
        <w:gridCol w:w="109"/>
        <w:gridCol w:w="235"/>
        <w:gridCol w:w="235"/>
        <w:gridCol w:w="746"/>
      </w:tblGrid>
      <w:tr>
        <w:trPr/>
        <w:tc>
          <w:tcPr>
            <w:tcW w:w="130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EYLEA HD -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EYLEA</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EYLEA HD and EYLEA -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Libtayo -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Libtayo - 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Total Libtayo - Global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Praluent</w:t>
            </w:r>
            <w:r>
              <w:rPr>
                <w:rFonts w:ascii="Arial;sans-serif" w:hAnsi="Arial;sans-serif"/>
                <w:b w:val="false"/>
                <w:color w:val="000000"/>
                <w:sz w:val="14"/>
              </w:rPr>
              <w:t xml:space="preserve">® </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Evkeeza</w:t>
            </w:r>
            <w:r>
              <w:rPr>
                <w:rFonts w:ascii="Arial;sans-serif" w:hAnsi="Arial;sans-serif"/>
                <w:b w:val="false"/>
                <w:color w:val="000000"/>
                <w:sz w:val="14"/>
              </w:rPr>
              <w:t xml:space="preserve">® </w:t>
            </w:r>
            <w:r>
              <w:rPr>
                <w:rFonts w:ascii="Arial;sans-serif" w:hAnsi="Arial;sans-serif"/>
                <w:b w:val="false"/>
                <w:color w:val="000000"/>
                <w:sz w:val="22"/>
              </w:rPr>
              <w:t>-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Lynozyfic</w:t>
            </w:r>
            <w:r>
              <w:rPr>
                <w:rFonts w:ascii="Arial;sans-serif" w:hAnsi="Arial;sans-serif"/>
                <w:b w:val="false"/>
                <w:color w:val="000000"/>
                <w:sz w:val="14"/>
              </w:rPr>
              <w:t xml:space="preserve">® </w:t>
            </w:r>
            <w:r>
              <w:rPr>
                <w:rFonts w:ascii="Arial;sans-serif" w:hAnsi="Arial;sans-serif"/>
                <w:b w:val="false"/>
                <w:color w:val="000000"/>
                <w:sz w:val="22"/>
              </w:rPr>
              <w:t>- Global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net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Sanofi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21"/>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Rest of world (ROW)</w:t>
            </w:r>
          </w:p>
        </w:tc>
      </w:tr>
      <w:tr>
        <w:trPr/>
        <w:tc>
          <w:tcPr>
            <w:tcW w:w="7878" w:type="dxa"/>
            <w:gridSpan w:val="21"/>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Percentage not meaningful or greater than 100%</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Net product sales of EYLEA HD increased in the second quarter of 2026, compared to the second quarter of 2025, primarily due to higher sales volumes driven by increased demand, partly offset by a lower net selling price.</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Net product sales of EYLEA in the second quarter of 2026, compared to the second quarter of 2025, were negatively impacted by (i) lower sales volumes, driven by decreased demand, as a result of continued competitive pressures and the continued transition of patients to EYLEA HD, and (ii) a lower net selling price.</w:t>
      </w:r>
    </w:p>
    <w:p>
      <w:pPr>
        <w:pStyle w:val="TextBody"/>
        <w:bidi w:val="0"/>
        <w:spacing w:lineRule="auto" w:line="288" w:before="160" w:after="160"/>
        <w:jc w:val="both"/>
        <w:rPr>
          <w:rFonts w:ascii="Arial;sans-serif" w:hAnsi="Arial;sans-serif"/>
          <w:b w:val="false"/>
          <w:color w:val="000000"/>
          <w:sz w:val="24"/>
        </w:rPr>
      </w:pPr>
      <w:r>
        <w:rPr>
          <w:rFonts w:ascii="Arial;sans-serif" w:hAnsi="Arial;sans-serif"/>
          <w:b w:val="false"/>
          <w:color w:val="000000"/>
          <w:sz w:val="24"/>
        </w:rPr>
        <w:t>Global net product sales of Libtayo increased in the second quarter of 2026, compared to the second quarter of 2025, primarily due to higher sales volumes driven by increased demand.</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Sanofi collaboration revenue increased in the second quarter of 2026, compared to the second quarter of 2025, due to an increase in the Company's share of profits from the commercialization of antibodies, which were $2.033 billion and $1.282 billion in the second quarter of 2026 and 2025, respectively. The change in the Company's share of profits from the commercialization of antibodies was driven by higher profits primarily associated with an increase in Dupixent sales. In addition, the Sanofi Development Balance was fully repaid as of the end of the second quarter of 2026 and will no longer reduce Sanofi collaboration revenue beginning in the third quarter of 2026.</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Refer to Table 4 for a summary of collaboration revenue.</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Operating Expenses</w:t>
      </w:r>
    </w:p>
    <w:tbl>
      <w:tblPr>
        <w:tblW w:w="10205" w:type="dxa"/>
        <w:jc w:val="left"/>
        <w:tblInd w:w="0" w:type="dxa"/>
        <w:tblLayout w:type="fixed"/>
        <w:tblCellMar>
          <w:top w:w="28" w:type="dxa"/>
          <w:left w:w="28" w:type="dxa"/>
          <w:bottom w:w="28" w:type="dxa"/>
          <w:right w:w="28" w:type="dxa"/>
        </w:tblCellMar>
      </w:tblPr>
      <w:tblGrid>
        <w:gridCol w:w="675"/>
        <w:gridCol w:w="504"/>
        <w:gridCol w:w="511"/>
        <w:gridCol w:w="109"/>
        <w:gridCol w:w="109"/>
        <w:gridCol w:w="109"/>
        <w:gridCol w:w="226"/>
        <w:gridCol w:w="706"/>
        <w:gridCol w:w="109"/>
        <w:gridCol w:w="109"/>
        <w:gridCol w:w="109"/>
        <w:gridCol w:w="109"/>
        <w:gridCol w:w="226"/>
        <w:gridCol w:w="706"/>
        <w:gridCol w:w="109"/>
        <w:gridCol w:w="109"/>
        <w:gridCol w:w="109"/>
        <w:gridCol w:w="109"/>
        <w:gridCol w:w="245"/>
        <w:gridCol w:w="245"/>
        <w:gridCol w:w="681"/>
        <w:gridCol w:w="109"/>
        <w:gridCol w:w="109"/>
        <w:gridCol w:w="109"/>
        <w:gridCol w:w="226"/>
        <w:gridCol w:w="706"/>
        <w:gridCol w:w="109"/>
        <w:gridCol w:w="109"/>
        <w:gridCol w:w="109"/>
        <w:gridCol w:w="109"/>
        <w:gridCol w:w="226"/>
        <w:gridCol w:w="706"/>
        <w:gridCol w:w="109"/>
        <w:gridCol w:w="109"/>
        <w:gridCol w:w="109"/>
        <w:gridCol w:w="109"/>
        <w:gridCol w:w="235"/>
        <w:gridCol w:w="235"/>
        <w:gridCol w:w="748"/>
      </w:tblGrid>
      <w:tr>
        <w:trPr/>
        <w:tc>
          <w:tcPr>
            <w:tcW w:w="6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2"/>
              </w:rPr>
              <w:t>Non-GAAP</w:t>
            </w:r>
            <w:r>
              <w:rPr>
                <w:rFonts w:ascii="Arial;sans-serif" w:hAnsi="Arial;sans-serif"/>
                <w:b/>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Research and development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Acquired in-process research and development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Selling, general, and administrative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goods sold (COGS)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Gross margin on net product sales</w:t>
            </w:r>
            <w:r>
              <w:rPr>
                <w:rFonts w:ascii="Arial;sans-serif" w:hAnsi="Arial;sans-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Cost of collaboration and contract manufacturing (COCM)</w:t>
            </w:r>
            <w:r>
              <w:rPr>
                <w:rFonts w:ascii="Arial;sans-serif" w:hAnsi="Arial;sans-serif"/>
                <w:b w:val="false"/>
                <w:color w:val="000000"/>
                <w:sz w:val="14"/>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GAAP and non-GAAP amounts are equivalent as no non-GAAP adjustments have been recorded</w:t>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Percentage not meaningful or greater than 100%</w:t>
            </w:r>
          </w:p>
        </w:tc>
      </w:tr>
    </w:tbl>
    <w:p>
      <w:pPr>
        <w:pStyle w:val="TextBody"/>
        <w:bidi w:val="0"/>
        <w:spacing w:lineRule="auto" w:line="288" w:before="80" w:after="80"/>
        <w:ind w:left="0" w:right="0" w:hanging="360"/>
        <w:jc w:val="left"/>
        <w:rPr/>
      </w:pPr>
      <w:r>
        <w:rPr>
          <w:color w:val="000000"/>
        </w:rPr>
        <w:t>•</w:t>
      </w:r>
      <w:r>
        <w:rPr>
          <w:rFonts w:ascii="Arial;sans-serif" w:hAnsi="Arial;sans-serif"/>
          <w:b w:val="false"/>
          <w:color w:val="000000"/>
          <w:sz w:val="24"/>
        </w:rPr>
        <w:t>GAAP and non-GAAP R&amp;D expenses increased in the second quarter of 2026, compared to the second quarter of 2025, driven by the Company's mid- and late-stage clinical pipeline.</w:t>
      </w:r>
    </w:p>
    <w:p>
      <w:pPr>
        <w:pStyle w:val="TextBody"/>
        <w:bidi w:val="0"/>
        <w:spacing w:lineRule="auto" w:line="288" w:before="80" w:after="80"/>
        <w:ind w:left="0" w:right="0" w:hanging="360"/>
        <w:jc w:val="left"/>
        <w:rPr/>
      </w:pPr>
      <w:r>
        <w:rPr>
          <w:color w:val="000000"/>
        </w:rPr>
        <w:t>•</w:t>
      </w:r>
      <w:r>
        <w:rPr>
          <w:rFonts w:ascii="Arial;sans-serif" w:hAnsi="Arial;sans-serif"/>
          <w:b w:val="false"/>
          <w:color w:val="000000"/>
          <w:sz w:val="24"/>
        </w:rPr>
        <w:t>Acquired IPR&amp;D expenses for the second quarter of 2026 included up-front and opt-in payments in connection with collaboration and licensing agreements.</w:t>
      </w:r>
    </w:p>
    <w:p>
      <w:pPr>
        <w:pStyle w:val="TextBody"/>
        <w:bidi w:val="0"/>
        <w:spacing w:lineRule="auto" w:line="288" w:before="80" w:after="80"/>
        <w:ind w:left="0" w:right="0" w:hanging="360"/>
        <w:jc w:val="left"/>
        <w:rPr/>
      </w:pPr>
      <w:r>
        <w:rPr>
          <w:color w:val="000000"/>
        </w:rPr>
        <w:t>•</w:t>
      </w:r>
      <w:r>
        <w:rPr>
          <w:rFonts w:ascii="Arial;sans-serif" w:hAnsi="Arial;sans-serif"/>
          <w:b w:val="false"/>
          <w:color w:val="000000"/>
          <w:sz w:val="24"/>
        </w:rPr>
        <w:t>GAAP gross margin on net product sales decreased in the second quarter of 2026, compared to the second quarter of 2025, primarily due to unabsorbed manufacturing costs as a result of the previously disclosed temporary interruption of bulk manufacturing production at the Company's facility in Limerick, Ireland. As of the end of the second quarter of 2026, bulk manufacturing production returned to normal levels. The interruption did not impact the availability of any of the Company's products.</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Other Financial Information</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GAAP other income (expense), net decreased in the second quarter of 2026, compared to the second quarter of 2025, primarily due to lower net gains on marketable and other securities.</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In the second quarter of 2026, the Company's GAAP effective tax rate (ETR) was 15.1%, compared to 8.4% in the second quarter of 2025. The GAAP ETR increased in the second quarter of 2026, compared to the second quarter of 2025, primarily due to the net change in unrecognized tax benefits, as during the second quarter of 2025 the Company released liabilities associated with unrecognized tax benefits upon the settlement of an IRS audit. In the second quarter of 2026, the non-GAAP ETR was 15.5%, compared to 8.3% in the second quarter of 2025.</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A reconciliation of the Company's GAAP to non-GAAP results is included in Table 3 of this press release.</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Capital Allocation</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During the three and six months ended June 30, 2026, the Company repurchased $1.2 billion and $2.0 billion, respectively, of its common stock. As of June 30, 2026, $2.5 billion remained available for share repurchases under the Company's share repurchase programs.</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In July 2026, the Company's board of directors declared a cash dividend of $0.94 per share on the Company's common stock and Class A stock, payable on August 31, 2026 to shareholders of record as of August 18, 2026.</w:t>
      </w:r>
    </w:p>
    <w:p>
      <w:pPr>
        <w:pStyle w:val="TextBody"/>
        <w:bidi w:val="0"/>
        <w:spacing w:lineRule="auto" w:line="288" w:before="160" w:after="160"/>
        <w:jc w:val="left"/>
        <w:rPr>
          <w:rFonts w:ascii="Arial;sans-serif" w:hAnsi="Arial;sans-serif"/>
          <w:b/>
          <w:i/>
          <w:color w:val="000000"/>
          <w:sz w:val="24"/>
        </w:rPr>
      </w:pPr>
      <w:r>
        <w:rPr>
          <w:rFonts w:ascii="Arial;sans-serif" w:hAnsi="Arial;sans-serif"/>
          <w:b/>
          <w:i/>
          <w:color w:val="000000"/>
          <w:sz w:val="24"/>
        </w:rPr>
        <w:t>2026 Financial Guidance*</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The Company's full year 2026 financial guidance consists of the following components:</w:t>
      </w:r>
    </w:p>
    <w:tbl>
      <w:tblPr>
        <w:tblW w:w="10205" w:type="dxa"/>
        <w:jc w:val="left"/>
        <w:tblInd w:w="0" w:type="dxa"/>
        <w:tblLayout w:type="fixed"/>
        <w:tblCellMar>
          <w:top w:w="28" w:type="dxa"/>
          <w:left w:w="28" w:type="dxa"/>
          <w:bottom w:w="28" w:type="dxa"/>
          <w:right w:w="28" w:type="dxa"/>
        </w:tblCellMar>
      </w:tblPr>
      <w:tblGrid>
        <w:gridCol w:w="1612"/>
        <w:gridCol w:w="1366"/>
        <w:gridCol w:w="1352"/>
        <w:gridCol w:w="126"/>
        <w:gridCol w:w="126"/>
        <w:gridCol w:w="126"/>
        <w:gridCol w:w="803"/>
        <w:gridCol w:w="803"/>
        <w:gridCol w:w="814"/>
        <w:gridCol w:w="186"/>
        <w:gridCol w:w="186"/>
        <w:gridCol w:w="186"/>
        <w:gridCol w:w="722"/>
        <w:gridCol w:w="722"/>
        <w:gridCol w:w="1075"/>
      </w:tblGrid>
      <w:tr>
        <w:trPr/>
        <w:tc>
          <w:tcPr>
            <w:tcW w:w="161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2026 Guidance</w:t>
            </w:r>
          </w:p>
        </w:tc>
      </w:tr>
      <w:tr>
        <w:trPr/>
        <w:tc>
          <w:tcPr>
            <w:tcW w:w="4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Prior</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Updated</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R&amp;D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$6.450–$6.680 billion</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$6.500–$6.635 billion</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 R&amp;D</w:t>
            </w:r>
            <w:r>
              <w:rPr>
                <w:rFonts w:ascii="Arial;sans-serif" w:hAnsi="Arial;sans-serif"/>
                <w:b w:val="false"/>
                <w:color w:val="000000"/>
                <w:sz w:val="14"/>
              </w:rPr>
              <w:t>(a)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$5.900–$6.100 billion</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$5.950–$6.050 billion</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GAAP SG&amp;A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$2.860–$3.040 billion</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$2.830–$2.960 billion</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 SG&amp;A</w:t>
            </w:r>
            <w:r>
              <w:rPr>
                <w:rFonts w:ascii="Arial;sans-serif" w:hAnsi="Arial;sans-serif"/>
                <w:b w:val="false"/>
                <w:color w:val="000000"/>
                <w:sz w:val="14"/>
              </w:rPr>
              <w:t>(a)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$2.500–$2.650 billion</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$2.500–$2.600 billion</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GAAP gross margin on net product sales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77%–78%</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78%–79%</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Non-GAAP gross margin on net product sales</w:t>
            </w:r>
            <w:r>
              <w:rPr>
                <w:rFonts w:ascii="Arial;sans-serif" w:hAnsi="Arial;sans-serif"/>
                <w:b w:val="false"/>
                <w:color w:val="000000"/>
                <w:sz w:val="14"/>
              </w:rPr>
              <w:t>(a)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83%–84%</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84%–85%</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GAAP COCM</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$955 million–$1.035 billion</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$985 million–$1.035 billion</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Non-GAAP COCM</w:t>
            </w:r>
            <w:r>
              <w:rPr>
                <w:rFonts w:ascii="Arial;sans-serif" w:hAnsi="Arial;sans-serif"/>
                <w:b w:val="false"/>
                <w:color w:val="000000"/>
                <w:sz w:val="14"/>
              </w:rPr>
              <w:t>(a)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$940 million–$1.020 billion</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$970 million–$1.020 billion</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Capital expenditures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$1.100–$1.200 billion</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$1.030–$1.100 billion</w:t>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effective tax rate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12%–14%</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13%–14%</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Non-GAAP effective tax rate</w:t>
            </w:r>
            <w:r>
              <w:rPr>
                <w:rFonts w:ascii="Arial;sans-serif" w:hAnsi="Arial;sans-serif"/>
                <w:b w:val="false"/>
                <w:color w:val="000000"/>
                <w:sz w:val="14"/>
              </w:rPr>
              <w:t>(a)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13%–15%</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14%–15%</w:t>
            </w:r>
          </w:p>
        </w:tc>
      </w:tr>
      <w:tr>
        <w:trPr/>
        <w:tc>
          <w:tcPr>
            <w:tcW w:w="4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The Company's 2026 financial guidance does not assume the completion of any business development transactions not completed as of the date of this press release</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A reconciliation of full year 2026 GAAP to non-GAAP financial guidance is included below:</w:t>
      </w:r>
    </w:p>
    <w:tbl>
      <w:tblPr>
        <w:tblW w:w="8990" w:type="dxa"/>
        <w:jc w:val="left"/>
        <w:tblInd w:w="0" w:type="dxa"/>
        <w:tblLayout w:type="fixed"/>
        <w:tblCellMar>
          <w:top w:w="28" w:type="dxa"/>
          <w:left w:w="28" w:type="dxa"/>
          <w:bottom w:w="28" w:type="dxa"/>
          <w:right w:w="28" w:type="dxa"/>
        </w:tblCellMar>
      </w:tblPr>
      <w:tblGrid>
        <w:gridCol w:w="2719"/>
        <w:gridCol w:w="1736"/>
        <w:gridCol w:w="1754"/>
        <w:gridCol w:w="109"/>
        <w:gridCol w:w="109"/>
        <w:gridCol w:w="109"/>
        <w:gridCol w:w="226"/>
        <w:gridCol w:w="706"/>
        <w:gridCol w:w="109"/>
        <w:gridCol w:w="109"/>
        <w:gridCol w:w="109"/>
        <w:gridCol w:w="109"/>
        <w:gridCol w:w="226"/>
        <w:gridCol w:w="706"/>
        <w:gridCol w:w="154"/>
      </w:tblGrid>
      <w:tr>
        <w:trPr/>
        <w:tc>
          <w:tcPr>
            <w:tcW w:w="271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Projected Range</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22"/>
              </w:rPr>
            </w:pPr>
            <w:r>
              <w:rPr>
                <w:rFonts w:ascii="Arial;sans-serif" w:hAnsi="Arial;sans-serif"/>
                <w:b/>
                <w:color w:val="000000"/>
                <w:sz w:val="22"/>
              </w:rPr>
              <w:t>High</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GAAP R&amp;D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(580)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w:t>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Non-GAAP R&amp;D</w:t>
            </w:r>
            <w:r>
              <w:rPr>
                <w:rFonts w:ascii="Arial;sans-serif" w:hAnsi="Arial;sans-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GAAP SG&amp;A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Non-GAAP SG&amp;A</w:t>
            </w:r>
            <w:r>
              <w:rPr>
                <w:rFonts w:ascii="Arial;sans-serif" w:hAnsi="Arial;sans-serif"/>
                <w:b w:val="false"/>
                <w:color w:val="000000"/>
                <w:sz w:val="14"/>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gross margin on net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79%</w:t>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1%</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w:t>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Non-GAAP gross margin on net product sales</w:t>
            </w:r>
            <w:r>
              <w:rPr>
                <w:rFonts w:ascii="Arial;sans-serif" w:hAnsi="Arial;sans-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GAAP COCM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1,035</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 xml:space="preserve">Temporary manufacturing interruption-related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w:t>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Non-GAAP COCM</w:t>
            </w:r>
            <w:r>
              <w:rPr>
                <w:rFonts w:ascii="Arial;sans-serif" w:hAnsi="Arial;sans-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ETR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14%</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effect of GAAP to non-GAAP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1%</w:t>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expense: Shortfall from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(&lt;1%)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(&lt;1%)</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2"/>
              </w:rPr>
              <w:t>Non-GAAP ETR</w:t>
            </w:r>
            <w:r>
              <w:rPr>
                <w:rFonts w:ascii="Arial;sans-serif" w:hAnsi="Arial;sans-serif"/>
                <w:b w:val="false"/>
                <w:color w:val="000000"/>
                <w:sz w:val="14"/>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w:t>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Includes legal settlements and other costs</w:t>
            </w:r>
          </w:p>
        </w:tc>
      </w:tr>
      <w:tr>
        <w:trPr/>
        <w:tc>
          <w:tcPr>
            <w:tcW w:w="899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 </w:t>
            </w:r>
            <w:r>
              <w:rPr>
                <w:rFonts w:ascii="Arial;sans-serif" w:hAnsi="Arial;sans-serif"/>
                <w:b w:val="false"/>
                <w:color w:val="000000"/>
                <w:sz w:val="18"/>
              </w:rPr>
              <w:t>Includes intangible asset amortization and temporary manufacturing interruption-related costs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3016"/>
        <w:gridCol w:w="2831"/>
        <w:gridCol w:w="40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160"/>
              <w:jc w:val="left"/>
              <w:rPr>
                <w:rFonts w:ascii="Arial;sans-serif" w:hAnsi="Arial;sans-serif"/>
                <w:b w:val="false"/>
                <w:color w:val="000000"/>
                <w:sz w:val="22"/>
              </w:rPr>
            </w:pPr>
            <w:r>
              <w:rPr>
                <w:rFonts w:ascii="Arial;sans-serif" w:hAnsi="Arial;sans-serif"/>
                <w:b w:val="false"/>
                <w:color w:val="000000"/>
                <w:sz w:val="22"/>
              </w:rPr>
              <w:t>This press release uses non-GAAP R&amp;D, non-GAAP SG&amp;A, non-GAAP COGS, non-GAAP gross margin on net product sales, non-GAAP COCM, non-GAAP other income (expense), net, non-GAAP ETR,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pStyle w:val="TableContents"/>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 the Company believes that this non-GAAP measure provides a further measure of the Company's ability to generate cash flows from its operations. Additionally, the non-GAAP measures presented are intended to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margin on net product sales represents gross profit expressed as a percentage of total net product sales recorded by the Company. Gross profit is calculated as net product sales less cost of goods sold.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w:t>
            </w:r>
          </w:p>
        </w:tc>
        <w:tc>
          <w:tcPr>
            <w:tcW w:w="98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Corresponding reimbursements from collaborators and others for manufacturing product is recorded within revenues.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Conference Call Information</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Regeneron will host a conference call and simultaneous webcast to discuss its second quarter 2026 financial and operating results on Thursday, July 30, 2026,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and transcript of the conference call and webcast will be archived on the Company's website for at least 30 days.</w:t>
      </w: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About Regeneron</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pStyle w:val="TextBody"/>
        <w:bidi w:val="0"/>
        <w:spacing w:lineRule="auto" w:line="288" w:before="160" w:after="160"/>
        <w:jc w:val="left"/>
        <w:rPr/>
      </w:pPr>
      <w:r>
        <w:rPr>
          <w:rFonts w:ascii="Arial;sans-serif" w:hAnsi="Arial;sans-serif"/>
          <w:b w:val="false"/>
          <w:color w:val="000000"/>
          <w:sz w:val="24"/>
        </w:rPr>
        <w:t xml:space="preserve">Regeneron pushes the boundaries of scientific discovery and accelerates drug development using its proprietary technologies, such as </w:t>
      </w:r>
      <w:r>
        <w:rPr>
          <w:rFonts w:ascii="Arial;sans-serif" w:hAnsi="Arial;sans-serif"/>
          <w:b w:val="false"/>
          <w:i/>
          <w:color w:val="000000"/>
          <w:sz w:val="24"/>
        </w:rPr>
        <w:t>VelociSuite</w:t>
      </w:r>
      <w:r>
        <w:rPr>
          <w:rFonts w:ascii="Arial;sans-serif" w:hAnsi="Arial;sans-serif"/>
          <w:b w:val="false"/>
          <w:color w:val="000000"/>
          <w:sz w:val="16"/>
        </w:rPr>
        <w:t>®</w:t>
      </w:r>
      <w:r>
        <w:rPr>
          <w:rFonts w:ascii="Arial;sans-serif" w:hAnsi="Arial;sans-serif"/>
          <w:b w:val="false"/>
          <w:color w:val="000000"/>
          <w:sz w:val="24"/>
        </w:rPr>
        <w:t>, which produces optimized fully human antibodies and new classes of bispecific antibodies. Regeneron is shaping the next frontier of medicine with data-powered insights from the Regeneron Genetics Center</w:t>
      </w:r>
      <w:r>
        <w:rPr>
          <w:rFonts w:ascii="Arial;sans-serif" w:hAnsi="Arial;sans-serif"/>
          <w:b w:val="false"/>
          <w:color w:val="000000"/>
          <w:sz w:val="16"/>
        </w:rPr>
        <w:t>®</w:t>
      </w:r>
      <w:r>
        <w:rPr>
          <w:color w:val="000000"/>
        </w:rPr>
        <w:t> </w:t>
      </w:r>
      <w:r>
        <w:rPr>
          <w:rFonts w:ascii="Arial;sans-serif" w:hAnsi="Arial;sans-serif"/>
          <w:b w:val="false"/>
          <w:color w:val="000000"/>
          <w:sz w:val="24"/>
        </w:rPr>
        <w:t>and pioneering genetic medicine platforms, enabling Regeneron to identify innovative targets and complementary approaches to potentially treat or cure diseases.</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For more information, please visit www.regeneron.com or follow Regeneron on LinkedIn, Instagram, Facebook, or X.</w:t>
      </w: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Forward-Looking Statements and Use of Digital Media</w:t>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 xml:space="preserve">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competing products and product candidates (including biosimilar products)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 the nature, timing, and possible success and therapeutic applications of Regeneron's Products and Regeneron's Product </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jc w:val="left"/>
        <w:rPr/>
      </w:pPr>
      <w:r>
        <w:rPr>
          <w:rFonts w:ascii="Arial;sans-serif" w:hAnsi="Arial;sans-serif"/>
          <w:b w:val="false"/>
          <w:color w:val="000000"/>
          <w:sz w:val="24"/>
        </w:rPr>
        <w:t>Candidates and research and clinical programs now underway or planned, including without limitation EYLEA HD</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(aflibercept) Injection 8 mg, EYLEA</w:t>
      </w:r>
      <w:r>
        <w:rPr>
          <w:rFonts w:ascii="Arial;sans-serif" w:hAnsi="Arial;sans-serif"/>
          <w:b/>
          <w:color w:val="000000"/>
          <w:sz w:val="16"/>
        </w:rPr>
        <w:t>®</w:t>
      </w:r>
      <w:r>
        <w:rPr>
          <w:color w:val="000000"/>
        </w:rPr>
        <w:t xml:space="preserve"> </w:t>
      </w:r>
      <w:r>
        <w:rPr>
          <w:rFonts w:ascii="Arial;sans-serif" w:hAnsi="Arial;sans-serif"/>
          <w:b w:val="false"/>
          <w:color w:val="000000"/>
          <w:sz w:val="24"/>
        </w:rPr>
        <w:t>(aflibercept) Injection, Dupixent</w:t>
      </w:r>
      <w:r>
        <w:rPr>
          <w:rFonts w:ascii="Arial;sans-serif" w:hAnsi="Arial;sans-serif"/>
          <w:b/>
          <w:color w:val="000000"/>
          <w:sz w:val="16"/>
        </w:rPr>
        <w:t>®</w:t>
      </w:r>
      <w:r>
        <w:rPr>
          <w:color w:val="000000"/>
        </w:rPr>
        <w:t xml:space="preserve"> </w:t>
      </w:r>
      <w:r>
        <w:rPr>
          <w:rFonts w:ascii="Arial;sans-serif" w:hAnsi="Arial;sans-serif"/>
          <w:b w:val="false"/>
          <w:color w:val="000000"/>
          <w:sz w:val="24"/>
        </w:rPr>
        <w:t>(dupilumab), Libtayo</w:t>
      </w:r>
      <w:r>
        <w:rPr>
          <w:rFonts w:ascii="Arial;sans-serif" w:hAnsi="Arial;sans-serif"/>
          <w:b/>
          <w:color w:val="000000"/>
          <w:sz w:val="16"/>
        </w:rPr>
        <w:t>®</w:t>
      </w:r>
      <w:r>
        <w:rPr>
          <w:color w:val="000000"/>
        </w:rPr>
        <w:t xml:space="preserve"> </w:t>
      </w:r>
      <w:r>
        <w:rPr>
          <w:rFonts w:ascii="Arial;sans-serif" w:hAnsi="Arial;sans-serif"/>
          <w:b w:val="false"/>
          <w:color w:val="000000"/>
          <w:sz w:val="24"/>
        </w:rPr>
        <w:t>(cemiplimab), Praluent</w:t>
      </w:r>
      <w:r>
        <w:rPr>
          <w:rFonts w:ascii="Arial;sans-serif" w:hAnsi="Arial;sans-serif"/>
          <w:b/>
          <w:color w:val="000000"/>
          <w:sz w:val="16"/>
        </w:rPr>
        <w:t>®</w:t>
      </w:r>
      <w:r>
        <w:rPr>
          <w:color w:val="000000"/>
        </w:rPr>
        <w:t xml:space="preserve"> </w:t>
      </w:r>
      <w:r>
        <w:rPr>
          <w:rFonts w:ascii="Arial;sans-serif" w:hAnsi="Arial;sans-serif"/>
          <w:b w:val="false"/>
          <w:color w:val="000000"/>
          <w:sz w:val="24"/>
        </w:rPr>
        <w:t>(alirocumab), Kevzara</w:t>
      </w:r>
      <w:r>
        <w:rPr>
          <w:rFonts w:ascii="Arial;sans-serif" w:hAnsi="Arial;sans-serif"/>
          <w:b/>
          <w:color w:val="000000"/>
          <w:sz w:val="16"/>
        </w:rPr>
        <w:t>®</w:t>
      </w:r>
      <w:r>
        <w:rPr>
          <w:color w:val="000000"/>
        </w:rPr>
        <w:t xml:space="preserve"> </w:t>
      </w:r>
      <w:r>
        <w:rPr>
          <w:rFonts w:ascii="Arial;sans-serif" w:hAnsi="Arial;sans-serif"/>
          <w:b w:val="false"/>
          <w:color w:val="000000"/>
          <w:sz w:val="24"/>
        </w:rPr>
        <w:t>(sarilumab), Evkeeza</w:t>
      </w:r>
      <w:r>
        <w:rPr>
          <w:rFonts w:ascii="Arial;sans-serif" w:hAnsi="Arial;sans-serif"/>
          <w:b/>
          <w:color w:val="000000"/>
          <w:sz w:val="16"/>
        </w:rPr>
        <w:t>®</w:t>
      </w:r>
      <w:r>
        <w:rPr>
          <w:color w:val="000000"/>
        </w:rPr>
        <w:t xml:space="preserve"> </w:t>
      </w:r>
      <w:r>
        <w:rPr>
          <w:rFonts w:ascii="Arial;sans-serif" w:hAnsi="Arial;sans-serif"/>
          <w:b w:val="false"/>
          <w:color w:val="000000"/>
          <w:sz w:val="24"/>
        </w:rPr>
        <w:t>(evinacumab), Veopoz</w:t>
      </w:r>
      <w:r>
        <w:rPr>
          <w:rFonts w:ascii="Arial;sans-serif" w:hAnsi="Arial;sans-serif"/>
          <w:b/>
          <w:color w:val="000000"/>
          <w:sz w:val="16"/>
        </w:rPr>
        <w:t>®</w:t>
      </w:r>
      <w:r>
        <w:rPr>
          <w:color w:val="000000"/>
        </w:rPr>
        <w:t xml:space="preserve"> </w:t>
      </w:r>
      <w:r>
        <w:rPr>
          <w:rFonts w:ascii="Arial;sans-serif" w:hAnsi="Arial;sans-serif"/>
          <w:b w:val="false"/>
          <w:color w:val="000000"/>
          <w:sz w:val="24"/>
        </w:rPr>
        <w:t>(pozelimab), Ordspono</w:t>
      </w:r>
      <w:r>
        <w:rPr>
          <w:color w:val="000000"/>
        </w:rPr>
        <w:t xml:space="preserve">™ </w:t>
      </w:r>
      <w:r>
        <w:rPr>
          <w:rFonts w:ascii="Arial;sans-serif" w:hAnsi="Arial;sans-serif"/>
          <w:b w:val="false"/>
          <w:color w:val="000000"/>
          <w:sz w:val="24"/>
        </w:rPr>
        <w:t>(odronextamab), Lynozyfic</w:t>
      </w:r>
      <w:r>
        <w:rPr>
          <w:rFonts w:ascii="Arial;sans-serif" w:hAnsi="Arial;sans-serif"/>
          <w:b/>
          <w:color w:val="000000"/>
          <w:sz w:val="16"/>
        </w:rPr>
        <w:t>®</w:t>
      </w:r>
      <w:r>
        <w:rPr>
          <w:color w:val="000000"/>
        </w:rPr>
        <w:t xml:space="preserve"> </w:t>
      </w:r>
      <w:r>
        <w:rPr>
          <w:rFonts w:ascii="Arial;sans-serif" w:hAnsi="Arial;sans-serif"/>
          <w:b w:val="false"/>
          <w:color w:val="000000"/>
          <w:sz w:val="24"/>
        </w:rPr>
        <w:t>(linvoseltamab), Otarmeni</w:t>
      </w:r>
      <w:r>
        <w:rPr>
          <w:color w:val="000000"/>
        </w:rPr>
        <w:t xml:space="preserve">™ </w:t>
      </w:r>
      <w:r>
        <w:rPr>
          <w:rFonts w:ascii="Arial;sans-serif" w:hAnsi="Arial;sans-serif"/>
          <w:b w:val="false"/>
          <w:color w:val="000000"/>
          <w:sz w:val="24"/>
        </w:rPr>
        <w:t xml:space="preserve">(lunsotogene parvec), other clinical programs discussed in this press release,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the ability of Regeneron to manufacture and manage supply chains for multiple products and product candidates and risks associated with tariffs and other trade restrictions;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 coverage and reimbursement determinations by such payors and other third parties and new policies and procedures adopted by such payors and other third parties; changes to drug pricing regulations and requirements and Regeneron's drug pricing strategy, including in connection with Regeneron's April 2026 agreements with the U.S. government; other changes in laws, regulations, and policies affecting the healthcare industry;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GAAP and non-GAAP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on Regeneron's business; and 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 A more complete description of these and other material risks can be found in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Regeneron's filings with the U.S. Securities and Exchange Commission, including its Form 10-K for the fiscal year ended December 31, 2025 and its Form 10-Q for the quarterly period ended June 30, 2026.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pStyle w:val="TextBody"/>
        <w:bidi w:val="0"/>
        <w:spacing w:lineRule="auto" w:line="288" w:before="160" w:after="283"/>
        <w:jc w:val="left"/>
        <w:rPr>
          <w:rFonts w:ascii="Arial;sans-serif" w:hAnsi="Arial;sans-serif"/>
          <w:b w:val="false"/>
          <w:color w:val="000000"/>
          <w:sz w:val="24"/>
        </w:rPr>
      </w:pPr>
      <w:r>
        <w:rPr>
          <w:rFonts w:ascii="Arial;sans-serif" w:hAnsi="Arial;sans-serif"/>
          <w:b w:val="false"/>
          <w:color w:val="000000"/>
          <w:sz w:val="24"/>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88" w:before="160" w:after="160"/>
        <w:jc w:val="left"/>
        <w:rPr>
          <w:rFonts w:ascii="Arial;sans-serif" w:hAnsi="Arial;sans-serif"/>
          <w:b w:val="false"/>
          <w:color w:val="000000"/>
          <w:sz w:val="24"/>
        </w:rPr>
      </w:pPr>
      <w:r>
        <w:rPr>
          <w:rFonts w:ascii="Arial;sans-serif" w:hAnsi="Arial;sans-serif"/>
          <w:b w:val="false"/>
          <w:color w:val="000000"/>
          <w:sz w:val="24"/>
        </w:rPr>
        <w:t>This press release and/or the financial results attached to this press release include amounts that are considered "non-GAAP financial measures" under SEC rules. As required, Regeneron has provided reconciliations of such non-GAAP financial measures.</w: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val="false"/>
          <w:color w:val="000000"/>
          <w:sz w:val="18"/>
        </w:rPr>
      </w:pPr>
      <w:r>
        <w:rPr>
          <w:rFonts w:ascii="Arial;sans-serif" w:hAnsi="Arial;sans-serif"/>
          <w:b w:val="false"/>
          <w:color w:val="000000"/>
          <w:sz w:val="18"/>
        </w:rPr>
        <w:t>###</w:t>
      </w:r>
    </w:p>
    <w:tbl>
      <w:tblPr>
        <w:tblW w:w="5729" w:type="dxa"/>
        <w:jc w:val="center"/>
        <w:tblInd w:w="0" w:type="dxa"/>
        <w:tblLayout w:type="fixed"/>
        <w:tblCellMar>
          <w:top w:w="28" w:type="dxa"/>
          <w:left w:w="28" w:type="dxa"/>
          <w:bottom w:w="28" w:type="dxa"/>
          <w:right w:w="28" w:type="dxa"/>
        </w:tblCellMar>
      </w:tblPr>
      <w:tblGrid>
        <w:gridCol w:w="923"/>
        <w:gridCol w:w="811"/>
        <w:gridCol w:w="817"/>
        <w:gridCol w:w="109"/>
        <w:gridCol w:w="109"/>
        <w:gridCol w:w="109"/>
        <w:gridCol w:w="986"/>
        <w:gridCol w:w="771"/>
        <w:gridCol w:w="109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Contact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Crowe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Christina Chan</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Affairs</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914-847-8790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914-847-8827</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ryan.crowe@regeneron.com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christina.chan@regeneron.com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p>
      <w:pPr>
        <w:pStyle w:val="TextBody"/>
        <w:bidi w:val="0"/>
        <w:spacing w:lineRule="auto" w:line="288" w:before="0" w:after="160"/>
        <w:jc w:val="center"/>
        <w:rPr>
          <w:rFonts w:ascii="Arial;sans-serif" w:hAnsi="Arial;sans-serif"/>
          <w:b/>
          <w:i/>
          <w:color w:val="000000"/>
          <w:sz w:val="20"/>
        </w:rPr>
      </w:pPr>
      <w:r>
        <w:rPr>
          <w:rFonts w:ascii="Arial;sans-serif" w:hAnsi="Arial;sans-serif"/>
          <w:b/>
          <w:i/>
          <w:color w:val="000000"/>
          <w:sz w:val="20"/>
        </w:rPr>
        <w:t>(In millions)</w:t>
      </w:r>
    </w:p>
    <w:tbl>
      <w:tblPr>
        <w:tblW w:w="8429" w:type="dxa"/>
        <w:jc w:val="center"/>
        <w:tblInd w:w="0" w:type="dxa"/>
        <w:tblLayout w:type="fixed"/>
        <w:tblCellMar>
          <w:top w:w="28" w:type="dxa"/>
          <w:left w:w="28" w:type="dxa"/>
          <w:bottom w:w="28" w:type="dxa"/>
          <w:right w:w="28" w:type="dxa"/>
        </w:tblCellMar>
      </w:tblPr>
      <w:tblGrid>
        <w:gridCol w:w="1850"/>
        <w:gridCol w:w="1628"/>
        <w:gridCol w:w="1652"/>
        <w:gridCol w:w="109"/>
        <w:gridCol w:w="109"/>
        <w:gridCol w:w="109"/>
        <w:gridCol w:w="211"/>
        <w:gridCol w:w="916"/>
        <w:gridCol w:w="109"/>
        <w:gridCol w:w="109"/>
        <w:gridCol w:w="109"/>
        <w:gridCol w:w="109"/>
        <w:gridCol w:w="232"/>
        <w:gridCol w:w="1008"/>
        <w:gridCol w:w="169"/>
      </w:tblGrid>
      <w:tr>
        <w:trPr/>
        <w:tc>
          <w:tcPr>
            <w:tcW w:w="1850"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40,558.7 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31,256.9 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41,730.6 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40,558.7 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160"/>
        <w:jc w:val="center"/>
        <w:rPr>
          <w:rFonts w:ascii="Arial;sans-serif" w:hAnsi="Arial;sans-serif"/>
          <w:b/>
          <w:i/>
          <w:color w:val="000000"/>
          <w:sz w:val="20"/>
        </w:rPr>
      </w:pPr>
      <w:r>
        <w:rPr>
          <w:rFonts w:ascii="Arial;sans-serif" w:hAnsi="Arial;sans-serif"/>
          <w:b/>
          <w:i/>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1571"/>
        <w:gridCol w:w="1374"/>
        <w:gridCol w:w="1382"/>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55"/>
      </w:tblGrid>
      <w:tr>
        <w:trPr/>
        <w:tc>
          <w:tcPr>
            <w:tcW w:w="15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w:t>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3,046.6 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6,704.3 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2,749.1 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collaboration and contract manufacturing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5,033.1 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3</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TO NON-GAAP FINANCIAL INFORMATION (Unaudited)</w:t>
      </w:r>
    </w:p>
    <w:p>
      <w:pPr>
        <w:pStyle w:val="TextBody"/>
        <w:bidi w:val="0"/>
        <w:spacing w:lineRule="auto" w:line="288" w:before="0" w:after="160"/>
        <w:jc w:val="center"/>
        <w:rPr>
          <w:rFonts w:ascii="Arial;sans-serif" w:hAnsi="Arial;sans-serif"/>
          <w:b/>
          <w:i/>
          <w:color w:val="000000"/>
          <w:sz w:val="20"/>
        </w:rPr>
      </w:pPr>
      <w:r>
        <w:rPr>
          <w:rFonts w:ascii="Arial;sans-serif" w:hAnsi="Arial;sans-serif"/>
          <w:b/>
          <w:i/>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1610"/>
        <w:gridCol w:w="1352"/>
        <w:gridCol w:w="1365"/>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55"/>
      </w:tblGrid>
      <w:tr>
        <w:trPr/>
        <w:tc>
          <w:tcPr>
            <w:tcW w:w="161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w:t>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GAAP R&amp;D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2,749.1 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Non-GAAP R&amp;D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2,469.1 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Litigation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Temporary manufacturing interruption-related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GAAP COCM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Temporary manufacturing interruption-related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Non-GAAP COCM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Gains on marketable and other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of GAAP to non-GAAP reconciling items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effect of GAAP to non-GAAP reconciling items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tax expense: Shortfall from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used in calculating: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jc w:val="center"/>
        <w:rPr/>
      </w:pPr>
      <w:r>
        <w:rPr>
          <w:rFonts w:ascii="Arial;sans-serif" w:hAnsi="Arial;sans-serif"/>
          <w:b/>
          <w:color w:val="000000"/>
          <w:sz w:val="20"/>
        </w:rPr>
        <w:t xml:space="preserve">RECONCILIATION OF GAAP TO NON-GAAP FINANCIAL INFORMATION (Unaudited) </w:t>
      </w:r>
      <w:r>
        <w:rPr>
          <w:rFonts w:ascii="Arial;sans-serif" w:hAnsi="Arial;sans-serif"/>
          <w:b/>
          <w:i/>
          <w:color w:val="000000"/>
          <w:sz w:val="20"/>
        </w:rPr>
        <w:t>(continued)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69"/>
        <w:gridCol w:w="1610"/>
        <w:gridCol w:w="1616"/>
        <w:gridCol w:w="109"/>
        <w:gridCol w:w="109"/>
        <w:gridCol w:w="109"/>
        <w:gridCol w:w="218"/>
        <w:gridCol w:w="218"/>
        <w:gridCol w:w="220"/>
        <w:gridCol w:w="125"/>
        <w:gridCol w:w="125"/>
        <w:gridCol w:w="125"/>
        <w:gridCol w:w="243"/>
        <w:gridCol w:w="936"/>
        <w:gridCol w:w="125"/>
        <w:gridCol w:w="109"/>
        <w:gridCol w:w="109"/>
        <w:gridCol w:w="109"/>
        <w:gridCol w:w="219"/>
        <w:gridCol w:w="846"/>
        <w:gridCol w:w="113"/>
        <w:gridCol w:w="113"/>
        <w:gridCol w:w="113"/>
        <w:gridCol w:w="113"/>
        <w:gridCol w:w="174"/>
        <w:gridCol w:w="174"/>
        <w:gridCol w:w="256"/>
      </w:tblGrid>
      <w:tr>
        <w:trPr/>
        <w:tc>
          <w:tcPr>
            <w:tcW w:w="186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w:t>
            </w:r>
          </w:p>
        </w:tc>
      </w:tr>
      <w:tr>
        <w:trPr/>
        <w:tc>
          <w:tcPr>
            <w:tcW w:w="5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Effective tax rate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ETR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9.2%</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effect of GAAP to non-GAAP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tax expense: Shortfall from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sans-serif" w:hAnsi="Arial;sans-serif"/>
                <w:b w:val="false"/>
                <w:color w:val="000000"/>
                <w:sz w:val="20"/>
              </w:rPr>
              <w:t>%</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ETR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 on net product sales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GAAP gross margin on net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82%</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Temporary manufacturing interruption-related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sans-serif" w:hAnsi="Arial;sans-serif"/>
                <w:b w:val="false"/>
                <w:color w:val="000000"/>
                <w:sz w:val="20"/>
              </w:rPr>
              <w:t>%</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Non-GAAP gross margin on net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Free cash flow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Capital expenditures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1,421.1 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COLLABORATION REVENUE (Unaudited)</w:t>
      </w:r>
    </w:p>
    <w:p>
      <w:pPr>
        <w:pStyle w:val="TextBody"/>
        <w:bidi w:val="0"/>
        <w:spacing w:lineRule="auto" w:line="288" w:before="0" w:after="160"/>
        <w:jc w:val="center"/>
        <w:rPr>
          <w:rFonts w:ascii="Arial;sans-serif" w:hAnsi="Arial;sans-serif"/>
          <w:b/>
          <w:i/>
          <w:color w:val="000000"/>
          <w:sz w:val="20"/>
        </w:rPr>
      </w:pPr>
      <w:r>
        <w:rPr>
          <w:rFonts w:ascii="Arial;sans-serif" w:hAnsi="Arial;sans-serif"/>
          <w:b/>
          <w:i/>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698"/>
        <w:gridCol w:w="1311"/>
        <w:gridCol w:w="1318"/>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55"/>
      </w:tblGrid>
      <w:tr>
        <w:trPr/>
        <w:tc>
          <w:tcPr>
            <w:tcW w:w="169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w:t>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Sanofi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Regeneron's share of profits in connection with commercialization of antibodies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Reimbursement for manufacturing of commercial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Sanofi collaboration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Bayer collaboration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Regeneron's share of profits in connection with commercialization of EYLEA 8 mg and EYLEA outside the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Reimbursement for manufacturing of commercial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Bayer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5</w:t>
      </w:r>
    </w:p>
    <w:p>
      <w:pPr>
        <w:pStyle w:val="TextBody"/>
        <w:bidi w:val="0"/>
        <w:spacing w:lineRule="auto" w:line="288" w:before="80" w:after="283"/>
        <w:jc w:val="center"/>
        <w:rPr>
          <w:rFonts w:ascii="Arial;sans-serif" w:hAnsi="Arial;sans-serif"/>
          <w:b/>
          <w:color w:val="000000"/>
          <w:sz w:val="20"/>
        </w:rPr>
      </w:pPr>
      <w:r>
        <w:rPr>
          <w:rFonts w:ascii="Arial;sans-serif" w:hAnsi="Arial;sans-serif"/>
          <w:b/>
          <w:color w:val="000000"/>
          <w:sz w:val="20"/>
        </w:rPr>
        <w:t>REGENERON 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NET PRODUCT SALES OF REGENERON-DISCOVERED PRODUCTS (Unaudited)</w:t>
      </w:r>
    </w:p>
    <w:p>
      <w:pPr>
        <w:pStyle w:val="TextBody"/>
        <w:bidi w:val="0"/>
        <w:spacing w:lineRule="auto" w:line="288" w:before="0" w:after="120"/>
        <w:jc w:val="center"/>
        <w:rPr>
          <w:rFonts w:ascii="Arial;sans-serif" w:hAnsi="Arial;sans-serif"/>
          <w:b/>
          <w:i/>
          <w:color w:val="000000"/>
          <w:sz w:val="20"/>
        </w:rPr>
      </w:pPr>
      <w:r>
        <w:rPr>
          <w:rFonts w:ascii="Arial;sans-serif" w:hAnsi="Arial;sans-serif"/>
          <w:b/>
          <w:i/>
          <w:color w:val="000000"/>
          <w:sz w:val="20"/>
        </w:rPr>
        <w:t>(In millions)</w:t>
      </w:r>
    </w:p>
    <w:tbl>
      <w:tblPr>
        <w:tblW w:w="11237" w:type="dxa"/>
        <w:jc w:val="center"/>
        <w:tblInd w:w="0" w:type="dxa"/>
        <w:tblLayout w:type="fixed"/>
        <w:tblCellMar>
          <w:top w:w="28" w:type="dxa"/>
          <w:left w:w="28" w:type="dxa"/>
          <w:bottom w:w="28" w:type="dxa"/>
          <w:right w:w="28" w:type="dxa"/>
        </w:tblCellMar>
      </w:tblPr>
      <w:tblGrid>
        <w:gridCol w:w="367"/>
        <w:gridCol w:w="296"/>
        <w:gridCol w:w="298"/>
        <w:gridCol w:w="109"/>
        <w:gridCol w:w="109"/>
        <w:gridCol w:w="109"/>
        <w:gridCol w:w="211"/>
        <w:gridCol w:w="811"/>
        <w:gridCol w:w="109"/>
        <w:gridCol w:w="109"/>
        <w:gridCol w:w="109"/>
        <w:gridCol w:w="109"/>
        <w:gridCol w:w="211"/>
        <w:gridCol w:w="811"/>
        <w:gridCol w:w="109"/>
        <w:gridCol w:w="109"/>
        <w:gridCol w:w="109"/>
        <w:gridCol w:w="109"/>
        <w:gridCol w:w="211"/>
        <w:gridCol w:w="916"/>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7"/>
        <w:gridCol w:w="217"/>
        <w:gridCol w:w="662"/>
      </w:tblGrid>
      <w:tr>
        <w:trPr/>
        <w:tc>
          <w:tcPr>
            <w:tcW w:w="3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Sales)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Dupixent</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EYLEA HD</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EYLEA</w:t>
            </w:r>
            <w:r>
              <w:rPr>
                <w:rFonts w:ascii="Arial;sans-serif" w:hAnsi="Arial;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EYLEA HD and EYLEA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Libtayo</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Praluent</w:t>
            </w:r>
            <w:r>
              <w:rPr>
                <w:rFonts w:ascii="Arial;sans-serif" w:hAnsi="Arial;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Kevzara</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Lynozyfic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products</w:t>
            </w:r>
            <w:r>
              <w:rPr>
                <w:rFonts w:ascii="Arial;sans-serif" w:hAnsi="Arial;sans-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Sales)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Dupixent</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EYLEA HD</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EYLEA</w:t>
            </w:r>
            <w:r>
              <w:rPr>
                <w:rFonts w:ascii="Arial;sans-serif" w:hAnsi="Arial;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EYLEA HD and EYLEA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Libtayo</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Praluent</w:t>
            </w:r>
            <w:r>
              <w:rPr>
                <w:rFonts w:ascii="Arial;sans-serif" w:hAnsi="Arial;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Kevzara</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Lynozyfic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products</w:t>
            </w:r>
            <w:r>
              <w:rPr>
                <w:rFonts w:ascii="Arial;sans-serif" w:hAnsi="Arial;sans-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7"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 The table above includes net product sales of Regeneron-discovered products. Such net product sales are recorded by the Company or others, as further described in the footnotes below.</w:t>
            </w:r>
          </w:p>
        </w:tc>
      </w:tr>
      <w:tr>
        <w:trPr/>
        <w:tc>
          <w:tcPr>
            <w:tcW w:w="11237" w:type="dxa"/>
            <w:gridSpan w:val="45"/>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Percentage not meaningful or greater than 100%</w:t>
            </w:r>
          </w:p>
        </w:tc>
      </w:tr>
      <w:tr>
        <w:trPr/>
        <w:tc>
          <w:tcPr>
            <w:tcW w:w="11237"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(a)</w:t>
            </w:r>
            <w:r>
              <w:rPr>
                <w:color w:val="000000"/>
              </w:rPr>
              <w:t xml:space="preserve"> </w:t>
            </w:r>
            <w:r>
              <w:rPr>
                <w:rFonts w:ascii="Arial;sans-serif" w:hAnsi="Arial;sans-serif"/>
                <w:b w:val="false"/>
                <w:color w:val="000000"/>
                <w:sz w:val="18"/>
              </w:rPr>
              <w:t>Sanofi records global net product sales of Dupixent and Kevzara, and the Company records its share of profits in connection with global sales of such products within Collaboration revenue</w:t>
            </w:r>
          </w:p>
        </w:tc>
      </w:tr>
      <w:tr>
        <w:trPr/>
        <w:tc>
          <w:tcPr>
            <w:tcW w:w="11237"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(b)</w:t>
            </w:r>
            <w:r>
              <w:rPr>
                <w:color w:val="000000"/>
              </w:rPr>
              <w:t xml:space="preserve"> </w:t>
            </w:r>
            <w:r>
              <w:rPr>
                <w:rFonts w:ascii="Arial;sans-serif" w:hAnsi="Arial;sans-serif"/>
                <w:b w:val="false"/>
                <w:color w:val="000000"/>
                <w:sz w:val="18"/>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tc>
      </w:tr>
      <w:tr>
        <w:trPr/>
        <w:tc>
          <w:tcPr>
            <w:tcW w:w="11237"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(c)</w:t>
            </w:r>
            <w:r>
              <w:rPr>
                <w:color w:val="000000"/>
              </w:rPr>
              <w:t xml:space="preserve"> </w:t>
            </w:r>
            <w:r>
              <w:rPr>
                <w:rFonts w:ascii="Arial;sans-serif" w:hAnsi="Arial;sans-serif"/>
                <w:b w:val="false"/>
                <w:color w:val="000000"/>
                <w:sz w:val="18"/>
              </w:rPr>
              <w:t>The Company records global net product sales of Libtayo and pays Sanofi a royalty on such sales</w:t>
            </w:r>
          </w:p>
        </w:tc>
      </w:tr>
      <w:tr>
        <w:trPr/>
        <w:tc>
          <w:tcPr>
            <w:tcW w:w="11237"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(d)</w:t>
            </w:r>
            <w:r>
              <w:rPr>
                <w:color w:val="000000"/>
              </w:rPr>
              <w:t xml:space="preserve"> </w:t>
            </w:r>
            <w:r>
              <w:rPr>
                <w:rFonts w:ascii="Arial;sans-serif" w:hAnsi="Arial;sans-serif"/>
                <w:b w:val="false"/>
                <w:color w:val="000000"/>
                <w:sz w:val="18"/>
              </w:rPr>
              <w:t>The Company records net product sales of Praluent in the United States. Sanofi records net product sales of Praluent outside the United States and pays the Company a royalty on such sales, which is recorded within Other revenue.</w:t>
            </w:r>
          </w:p>
        </w:tc>
      </w:tr>
      <w:tr>
        <w:trPr/>
        <w:tc>
          <w:tcPr>
            <w:tcW w:w="11237"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(e)</w:t>
            </w:r>
            <w:r>
              <w:rPr>
                <w:color w:val="000000"/>
              </w:rPr>
              <w:t xml:space="preserve"> </w:t>
            </w:r>
            <w:r>
              <w:rPr>
                <w:rFonts w:ascii="Arial;sans-serif" w:hAnsi="Arial;sans-serif"/>
                <w:b w:val="false"/>
                <w:color w:val="000000"/>
                <w:sz w:val="18"/>
              </w:rPr>
              <w:t>Included in this line item are products which are sold by the Company and others. Refer to "Second Quarter 2026 Financial Results" section above for a listing of net product sales recorded by the Company. Not included in this line item are net product sales of ARCALYST</w:t>
            </w:r>
            <w:r>
              <w:rPr>
                <w:rFonts w:ascii="Times New Roman;serif" w:hAnsi="Times New Roman;serif"/>
                <w:b w:val="false"/>
                <w:color w:val="000000"/>
                <w:sz w:val="12"/>
              </w:rPr>
              <w:t>®</w:t>
            </w:r>
            <w:r>
              <w:rPr>
                <w:rFonts w:ascii="Arial;sans-serif" w:hAnsi="Arial;sans-serif"/>
                <w:b w:val="false"/>
                <w:color w:val="000000"/>
                <w:sz w:val="18"/>
              </w:rPr>
              <w:t>, which are recorded by Kiniksa.</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5774</Words>
  <Characters>32086</Characters>
  <CharactersWithSpaces>37014</CharactersWithSpaces>
  <Paragraphs>1299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