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 (Date of earliest event reported): August 22, 2011 (August 22, 2011)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7620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11430</wp:posOffset>
            </wp:positionV>
            <wp:extent cx="2898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392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1"/>
              </w:rPr>
              <w:t>New York</w:t>
            </w:r>
          </w:p>
        </w:tc>
        <w:tc>
          <w:tcPr>
            <w:tcW w:w="3520" w:type="dxa"/>
            <w:vAlign w:val="bottom"/>
          </w:tcPr>
          <w:p>
            <w:pPr>
              <w:jc w:val="right"/>
              <w:ind w:right="1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000-19034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right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13-3444607</w:t>
            </w:r>
          </w:p>
        </w:tc>
      </w:tr>
      <w:tr>
        <w:trPr>
          <w:trHeight w:val="215"/>
        </w:trPr>
        <w:tc>
          <w:tcPr>
            <w:tcW w:w="36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(State or other jurisdiction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(Commission File No.)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(IRS Employer Identification No.)</w:t>
            </w:r>
          </w:p>
        </w:tc>
      </w:tr>
      <w:tr>
        <w:trPr>
          <w:trHeight w:val="275"/>
        </w:trPr>
        <w:tc>
          <w:tcPr>
            <w:tcW w:w="39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Incorporation)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140" w:right="2740" w:hanging="403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 xml:space="preserve">777 Old Saw Mill River Road, Tarrytown, New York 10591-6707 </w:t>
      </w:r>
      <w:r>
        <w:rPr>
          <w:rFonts w:ascii="Arial" w:cs="Arial" w:eastAsia="Arial" w:hAnsi="Arial"/>
          <w:sz w:val="19"/>
          <w:szCs w:val="19"/>
          <w:color w:val="auto"/>
        </w:rPr>
        <w:t>(Address of principal executive offices, including zip code)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(914) 347-7000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2140585</wp:posOffset>
            </wp:positionH>
            <wp:positionV relativeFrom="paragraph">
              <wp:posOffset>11430</wp:posOffset>
            </wp:positionV>
            <wp:extent cx="289877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right="22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231775</wp:posOffset>
            </wp:positionV>
            <wp:extent cx="7267575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63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7.01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Regulation FD Disclosure.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firstLine="270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August 22, 2011, at the American Society of Retina Specialists meeting in Boston, Massachusetts, data from the Phase 3 COPERNICUS Study of the safety, efficacy, and tolerability of repeated intravitreal administration of VEGF Trap-Eye in patients with macular edema secondary to central retinal vein occlusion will be presented by W. Lloyd Clark, M.D. A copy of the slides that will be presented is furnished as Exhibit 99.1 to this Current Report on Form 8-K.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9.01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Financial Statements and Exhibits.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(d) Exhibits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Presentation entitled VEGF Trap-Eye in CRVO: 1-year Results of the Phase 3 COPERNICUS Study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231775</wp:posOffset>
            </wp:positionV>
            <wp:extent cx="726757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80"/>
          </w:cols>
          <w:pgMar w:left="240" w:top="611" w:right="37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firstLine="27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August 22,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Murray A. Goldberg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3743960</wp:posOffset>
            </wp:positionH>
            <wp:positionV relativeFrom="paragraph">
              <wp:posOffset>19685</wp:posOffset>
            </wp:positionV>
            <wp:extent cx="35077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Murray A. Goldberg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Senior Vice President, Finance and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Administration, Chief Financial Officer, Treasurer,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 Assistant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240" w:top="617" w:right="459" w:bottom="1440" w:gutter="0" w:footer="0" w:header="0"/>
        </w:sectPr>
      </w:pPr>
    </w:p>
    <w:bookmarkStart w:id="3" w:name="page4"/>
    <w:bookmarkEnd w:id="3"/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Index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Number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19685</wp:posOffset>
            </wp:positionV>
            <wp:extent cx="7246620" cy="1631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6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Presentation entitled VEGF Trap-Eye in CRVO: 1-year Results of the Phase 3 COPERNICUS Study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617" w:right="1440" w:bottom="1440" w:gutter="0" w:footer="0" w:header="0"/>
        </w:sectPr>
      </w:pPr>
    </w:p>
    <w:bookmarkStart w:id="4" w:name="page5"/>
    <w:bookmarkEnd w:id="4"/>
    <w:p>
      <w:pPr>
        <w:ind w:left="9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180340</wp:posOffset>
            </wp:positionV>
            <wp:extent cx="7267575" cy="47275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2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374" w:right="239" w:bottom="1440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275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2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872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8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529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5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529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5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275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2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529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5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5297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5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2757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2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2757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2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447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2757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2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6186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6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5297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5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397510</wp:posOffset>
            </wp:positionV>
            <wp:extent cx="7267575" cy="473583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73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2019-12-10T10:14:20Z</dcterms:created>
  <dcterms:modified xsi:type="dcterms:W3CDTF">2019-12-10T10:14:20Z</dcterms:modified>
</cp:coreProperties>
</file>