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70"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0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01/31/2014</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11"/>
            <w:vMerge w:val="continue"/>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jc w:val="center"/>
              <w:ind w:left="181"/>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01/31/2014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243</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286.1347</w:t>
            </w:r>
            <w:r>
              <w:rPr>
                <w:rFonts w:ascii="Arial" w:cs="Arial" w:eastAsia="Arial" w:hAnsi="Arial"/>
                <w:sz w:val="22"/>
                <w:szCs w:val="22"/>
                <w:color w:val="008000"/>
                <w:w w:val="84"/>
                <w:vertAlign w:val="superscript"/>
              </w:rPr>
              <w:t>(1)(3)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15,897,116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01/31/2014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600</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287.7267</w:t>
            </w:r>
            <w:r>
              <w:rPr>
                <w:rFonts w:ascii="Arial" w:cs="Arial" w:eastAsia="Arial" w:hAnsi="Arial"/>
                <w:sz w:val="22"/>
                <w:szCs w:val="22"/>
                <w:color w:val="008000"/>
                <w:w w:val="84"/>
                <w:vertAlign w:val="superscript"/>
              </w:rPr>
              <w:t>(1)(5)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15,975,716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01/31/2014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300</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288.7667</w:t>
            </w:r>
            <w:r>
              <w:rPr>
                <w:rFonts w:ascii="Arial" w:cs="Arial" w:eastAsia="Arial" w:hAnsi="Arial"/>
                <w:sz w:val="22"/>
                <w:szCs w:val="22"/>
                <w:color w:val="008000"/>
                <w:w w:val="84"/>
                <w:vertAlign w:val="superscript"/>
              </w:rPr>
              <w:t>(1)(6)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15,976,016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01/31/2014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9,771</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289.8973</w:t>
            </w:r>
            <w:r>
              <w:rPr>
                <w:rFonts w:ascii="Arial" w:cs="Arial" w:eastAsia="Arial" w:hAnsi="Arial"/>
                <w:sz w:val="22"/>
                <w:szCs w:val="22"/>
                <w:color w:val="008000"/>
                <w:w w:val="84"/>
                <w:vertAlign w:val="superscript"/>
              </w:rPr>
              <w:t>(1)(7)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15,985,787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7,547</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279.1441</w:t>
            </w:r>
            <w:r>
              <w:rPr>
                <w:rFonts w:ascii="Arial" w:cs="Arial" w:eastAsia="Arial" w:hAnsi="Arial"/>
                <w:sz w:val="22"/>
                <w:szCs w:val="22"/>
                <w:color w:val="008000"/>
                <w:w w:val="84"/>
                <w:vertAlign w:val="superscript"/>
              </w:rPr>
              <w:t>(1)(8)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15,993,334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20,947</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280.0347</w:t>
            </w:r>
            <w:r>
              <w:rPr>
                <w:rFonts w:ascii="Arial" w:cs="Arial" w:eastAsia="Arial" w:hAnsi="Arial"/>
                <w:sz w:val="22"/>
                <w:szCs w:val="22"/>
                <w:color w:val="008000"/>
                <w:w w:val="84"/>
                <w:vertAlign w:val="superscript"/>
              </w:rPr>
              <w:t>(1)(9)</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16,014,281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20,023</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281.14</w:t>
            </w:r>
            <w:r>
              <w:rPr>
                <w:rFonts w:ascii="Arial" w:cs="Arial" w:eastAsia="Arial" w:hAnsi="Arial"/>
                <w:sz w:val="22"/>
                <w:szCs w:val="22"/>
                <w:color w:val="008000"/>
                <w:w w:val="82"/>
                <w:vertAlign w:val="superscript"/>
              </w:rPr>
              <w:t>(1)(10)</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16,034,304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19,448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282.1185</w:t>
            </w:r>
            <w:r>
              <w:rPr>
                <w:rFonts w:ascii="Arial" w:cs="Arial" w:eastAsia="Arial" w:hAnsi="Arial"/>
                <w:sz w:val="22"/>
                <w:szCs w:val="22"/>
                <w:color w:val="008000"/>
                <w:w w:val="82"/>
                <w:vertAlign w:val="superscript"/>
              </w:rPr>
              <w:t>(1)(11)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16,053,752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19,805</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283.1667</w:t>
            </w:r>
            <w:r>
              <w:rPr>
                <w:rFonts w:ascii="Arial" w:cs="Arial" w:eastAsia="Arial" w:hAnsi="Arial"/>
                <w:sz w:val="22"/>
                <w:szCs w:val="22"/>
                <w:color w:val="008000"/>
                <w:w w:val="83"/>
                <w:vertAlign w:val="superscript"/>
              </w:rPr>
              <w:t>(1)(12)</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16,073,557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37,908</w:t>
            </w:r>
            <w:r>
              <w:rPr>
                <w:rFonts w:ascii="Arial" w:cs="Arial" w:eastAsia="Arial" w:hAnsi="Arial"/>
                <w:sz w:val="11"/>
                <w:szCs w:val="11"/>
                <w:color w:val="008000"/>
                <w:w w:val="75"/>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284.1091</w:t>
            </w:r>
            <w:r>
              <w:rPr>
                <w:rFonts w:ascii="Arial" w:cs="Arial" w:eastAsia="Arial" w:hAnsi="Arial"/>
                <w:sz w:val="22"/>
                <w:szCs w:val="22"/>
                <w:color w:val="008000"/>
                <w:w w:val="83"/>
                <w:vertAlign w:val="superscript"/>
              </w:rPr>
              <w:t>(1)(13)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16,111,465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39,366</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285.0481</w:t>
            </w:r>
            <w:r>
              <w:rPr>
                <w:rFonts w:ascii="Arial" w:cs="Arial" w:eastAsia="Arial" w:hAnsi="Arial"/>
                <w:sz w:val="22"/>
                <w:szCs w:val="22"/>
                <w:color w:val="008000"/>
                <w:w w:val="83"/>
                <w:vertAlign w:val="superscript"/>
              </w:rPr>
              <w:t>(1)(14)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16,150,831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24,692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286.0027</w:t>
            </w:r>
            <w:r>
              <w:rPr>
                <w:rFonts w:ascii="Arial" w:cs="Arial" w:eastAsia="Arial" w:hAnsi="Arial"/>
                <w:sz w:val="22"/>
                <w:szCs w:val="22"/>
                <w:color w:val="008000"/>
                <w:w w:val="83"/>
                <w:vertAlign w:val="superscript"/>
              </w:rPr>
              <w:t>(1)(15)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16,175,523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6,619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287.123</w:t>
            </w:r>
            <w:r>
              <w:rPr>
                <w:rFonts w:ascii="Arial" w:cs="Arial" w:eastAsia="Arial" w:hAnsi="Arial"/>
                <w:sz w:val="22"/>
                <w:szCs w:val="22"/>
                <w:color w:val="008000"/>
                <w:w w:val="83"/>
                <w:vertAlign w:val="superscript"/>
              </w:rPr>
              <w:t>(1)(16)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16,182,142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1,200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288.1442</w:t>
            </w:r>
            <w:r>
              <w:rPr>
                <w:rFonts w:ascii="Arial" w:cs="Arial" w:eastAsia="Arial" w:hAnsi="Arial"/>
                <w:sz w:val="22"/>
                <w:szCs w:val="22"/>
                <w:color w:val="008000"/>
                <w:w w:val="83"/>
                <w:vertAlign w:val="superscript"/>
              </w:rPr>
              <w:t>(1)(17)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16,183,342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02/03/2014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503</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289.6178</w:t>
            </w:r>
            <w:r>
              <w:rPr>
                <w:rFonts w:ascii="Arial" w:cs="Arial" w:eastAsia="Arial" w:hAnsi="Arial"/>
                <w:sz w:val="22"/>
                <w:szCs w:val="22"/>
                <w:color w:val="008000"/>
                <w:w w:val="83"/>
                <w:vertAlign w:val="superscript"/>
              </w:rPr>
              <w:t>(1)(18)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16,183,845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17"/>
          </w:tcPr>
          <w:p>
            <w:pPr>
              <w:jc w:val="center"/>
              <w:ind w:left="18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89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895475"/>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82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4Code.  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4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71"/>
              </w:rPr>
              <w:t>6Exercisable.DateExercisableDate and</w:t>
            </w:r>
          </w:p>
        </w:tc>
        <w:tc>
          <w:tcPr>
            <w:tcW w:w="11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80"/>
              </w:rPr>
              <w:t>7Title.Title andShares</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82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6"/>
        </w:trPr>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82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0"/>
                <w:szCs w:val="10"/>
                <w:color w:val="auto"/>
              </w:rPr>
            </w:pP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160" w:type="dxa"/>
            <w:vAlign w:val="bottom"/>
          </w:tcPr>
          <w:p>
            <w:pPr>
              <w:ind w:left="40"/>
              <w:spacing w:after="0" w:line="68" w:lineRule="exact"/>
              <w:rPr>
                <w:sz w:val="20"/>
                <w:szCs w:val="20"/>
                <w:color w:val="auto"/>
              </w:rPr>
            </w:pPr>
            <w:r>
              <w:rPr>
                <w:rFonts w:ascii="Arial" w:cs="Arial" w:eastAsia="Arial" w:hAnsi="Arial"/>
                <w:sz w:val="7"/>
                <w:szCs w:val="7"/>
                <w:color w:val="008000"/>
              </w:rPr>
              <w:t>1.</w:t>
            </w:r>
          </w:p>
        </w:tc>
        <w:tc>
          <w:tcPr>
            <w:tcW w:w="11260" w:type="dxa"/>
            <w:vAlign w:val="bottom"/>
            <w:gridSpan w:val="12"/>
          </w:tcPr>
          <w:p>
            <w:pPr>
              <w:ind w:left="20"/>
              <w:spacing w:after="0" w:line="68" w:lineRule="exact"/>
              <w:rPr>
                <w:sz w:val="20"/>
                <w:szCs w:val="20"/>
                <w:color w:val="auto"/>
              </w:rPr>
            </w:pPr>
            <w:r>
              <w:rPr>
                <w:rFonts w:ascii="Arial" w:cs="Arial" w:eastAsia="Arial" w:hAnsi="Arial"/>
                <w:sz w:val="7"/>
                <w:szCs w:val="7"/>
                <w:color w:val="008000"/>
              </w:rPr>
              <w:t>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Derivative</w:t>
            </w: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40" w:type="dxa"/>
            <w:vAlign w:val="bottom"/>
          </w:tcPr>
          <w:p>
            <w:pPr>
              <w:spacing w:after="0"/>
              <w:rPr>
                <w:sz w:val="5"/>
                <w:szCs w:val="5"/>
                <w:color w:val="auto"/>
              </w:rPr>
            </w:pPr>
          </w:p>
        </w:tc>
        <w:tc>
          <w:tcPr>
            <w:tcW w:w="1120" w:type="dxa"/>
            <w:vAlign w:val="bottom"/>
          </w:tcPr>
          <w:p>
            <w:pPr>
              <w:ind w:left="100"/>
              <w:spacing w:after="0" w:line="68" w:lineRule="exact"/>
              <w:rPr>
                <w:sz w:val="20"/>
                <w:szCs w:val="20"/>
                <w:color w:val="auto"/>
              </w:rPr>
            </w:pPr>
            <w:r>
              <w:rPr>
                <w:rFonts w:ascii="Arial" w:cs="Arial" w:eastAsia="Arial" w:hAnsi="Arial"/>
                <w:sz w:val="7"/>
                <w:szCs w:val="7"/>
                <w:b w:val="1"/>
                <w:bCs w:val="1"/>
                <w:color w:val="auto"/>
              </w:rPr>
              <w:t>Derivative</w:t>
            </w:r>
          </w:p>
        </w:tc>
        <w:tc>
          <w:tcPr>
            <w:tcW w:w="740" w:type="dxa"/>
            <w:vAlign w:val="bottom"/>
          </w:tcPr>
          <w:p>
            <w:pPr>
              <w:spacing w:after="0"/>
              <w:rPr>
                <w:sz w:val="5"/>
                <w:szCs w:val="5"/>
                <w:color w:val="auto"/>
              </w:rPr>
            </w:pPr>
          </w:p>
        </w:tc>
        <w:tc>
          <w:tcPr>
            <w:tcW w:w="98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or Indirect</w:t>
            </w:r>
          </w:p>
        </w:tc>
        <w:tc>
          <w:tcPr>
            <w:tcW w:w="80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1"/>
        </w:trPr>
        <w:tc>
          <w:tcPr>
            <w:tcW w:w="11420" w:type="dxa"/>
            <w:vAlign w:val="bottom"/>
            <w:gridSpan w:val="13"/>
          </w:tcPr>
          <w:p>
            <w:pPr>
              <w:ind w:left="40"/>
              <w:spacing w:after="0" w:line="81" w:lineRule="exact"/>
              <w:rPr>
                <w:sz w:val="20"/>
                <w:szCs w:val="20"/>
                <w:color w:val="auto"/>
              </w:rPr>
            </w:pPr>
            <w:r>
              <w:rPr>
                <w:rFonts w:ascii="Arial" w:cs="Arial" w:eastAsia="Arial" w:hAnsi="Arial"/>
                <w:sz w:val="9"/>
                <w:szCs w:val="9"/>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ind w:left="20"/>
              <w:spacing w:after="0" w:line="54" w:lineRule="exact"/>
              <w:rPr>
                <w:sz w:val="20"/>
                <w:szCs w:val="20"/>
                <w:color w:val="auto"/>
              </w:rPr>
            </w:pPr>
            <w:r>
              <w:rPr>
                <w:rFonts w:ascii="Arial" w:cs="Arial" w:eastAsia="Arial" w:hAnsi="Arial"/>
                <w:sz w:val="6"/>
                <w:szCs w:val="6"/>
                <w:b w:val="1"/>
                <w:bCs w:val="1"/>
                <w:color w:val="auto"/>
              </w:rPr>
              <w:t>Security</w:t>
            </w: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40" w:type="dxa"/>
            <w:vAlign w:val="bottom"/>
          </w:tcPr>
          <w:p>
            <w:pPr>
              <w:spacing w:after="0"/>
              <w:rPr>
                <w:sz w:val="4"/>
                <w:szCs w:val="4"/>
                <w:color w:val="auto"/>
              </w:rPr>
            </w:pPr>
          </w:p>
        </w:tc>
        <w:tc>
          <w:tcPr>
            <w:tcW w:w="11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 3</w:t>
            </w:r>
          </w:p>
        </w:tc>
        <w:tc>
          <w:tcPr>
            <w:tcW w:w="740" w:type="dxa"/>
            <w:vAlign w:val="bottom"/>
          </w:tcPr>
          <w:p>
            <w:pPr>
              <w:spacing w:after="0"/>
              <w:rPr>
                <w:sz w:val="4"/>
                <w:szCs w:val="4"/>
                <w:color w:val="auto"/>
              </w:rPr>
            </w:pPr>
          </w:p>
        </w:tc>
        <w:tc>
          <w:tcPr>
            <w:tcW w:w="98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(I) (Instr. 4)</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720" w:type="dxa"/>
            <w:vAlign w:val="bottom"/>
            <w:gridSpan w:val="4"/>
          </w:tcPr>
          <w:p>
            <w:pPr>
              <w:ind w:left="40"/>
              <w:spacing w:after="0" w:line="146" w:lineRule="exact"/>
              <w:rPr>
                <w:sz w:val="20"/>
                <w:szCs w:val="20"/>
                <w:color w:val="auto"/>
              </w:rPr>
            </w:pPr>
            <w:r>
              <w:rPr>
                <w:rFonts w:ascii="Arial" w:cs="Arial" w:eastAsia="Arial" w:hAnsi="Arial"/>
                <w:sz w:val="14"/>
                <w:szCs w:val="14"/>
                <w:color w:val="008000"/>
              </w:rPr>
              <w:t>separate price within the range.</w:t>
            </w: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2"/>
                <w:szCs w:val="12"/>
                <w:color w:val="auto"/>
              </w:rPr>
            </w:pP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and 4)</w:t>
            </w:r>
          </w:p>
        </w:tc>
        <w:tc>
          <w:tcPr>
            <w:tcW w:w="74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60" w:type="dxa"/>
            <w:vAlign w:val="bottom"/>
          </w:tcPr>
          <w:p>
            <w:pPr>
              <w:ind w:left="40"/>
              <w:spacing w:after="0" w:line="151" w:lineRule="exact"/>
              <w:rPr>
                <w:sz w:val="20"/>
                <w:szCs w:val="20"/>
                <w:color w:val="auto"/>
              </w:rPr>
            </w:pPr>
            <w:r>
              <w:rPr>
                <w:rFonts w:ascii="Arial" w:cs="Arial" w:eastAsia="Arial" w:hAnsi="Arial"/>
                <w:sz w:val="14"/>
                <w:szCs w:val="14"/>
                <w:color w:val="008000"/>
                <w:w w:val="85"/>
              </w:rPr>
              <w:t>2.</w:t>
            </w:r>
          </w:p>
        </w:tc>
        <w:tc>
          <w:tcPr>
            <w:tcW w:w="5320" w:type="dxa"/>
            <w:vAlign w:val="bottom"/>
            <w:gridSpan w:val="6"/>
          </w:tcPr>
          <w:p>
            <w:pPr>
              <w:ind w:left="20"/>
              <w:spacing w:after="0" w:line="151" w:lineRule="exact"/>
              <w:rPr>
                <w:sz w:val="20"/>
                <w:szCs w:val="20"/>
                <w:color w:val="auto"/>
              </w:rPr>
            </w:pPr>
            <w:r>
              <w:rPr>
                <w:rFonts w:ascii="Arial" w:cs="Arial" w:eastAsia="Arial" w:hAnsi="Arial"/>
                <w:sz w:val="11"/>
                <w:szCs w:val="11"/>
                <w:color w:val="008000"/>
              </w:rPr>
              <w:t xml:space="preserve">Represents shares acquired directly by sanofi-aventis Amerique du Nord ("SAAN"). </w:t>
            </w:r>
            <w:r>
              <w:rPr>
                <w:rFonts w:ascii="Arial" w:cs="Arial" w:eastAsia="Arial" w:hAnsi="Arial"/>
                <w:sz w:val="17"/>
                <w:szCs w:val="17"/>
                <w:b w:val="1"/>
                <w:bCs w:val="1"/>
                <w:color w:val="000000"/>
                <w:vertAlign w:val="superscript"/>
              </w:rPr>
              <w:t>of (D)</w:t>
            </w: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60" w:type="dxa"/>
            <w:vAlign w:val="bottom"/>
            <w:vMerge w:val="restart"/>
          </w:tcPr>
          <w:p>
            <w:pPr>
              <w:ind w:left="40"/>
              <w:spacing w:after="0"/>
              <w:rPr>
                <w:sz w:val="20"/>
                <w:szCs w:val="20"/>
                <w:color w:val="auto"/>
              </w:rPr>
            </w:pPr>
            <w:r>
              <w:rPr>
                <w:rFonts w:ascii="Arial" w:cs="Arial" w:eastAsia="Arial" w:hAnsi="Arial"/>
                <w:sz w:val="14"/>
                <w:szCs w:val="14"/>
                <w:color w:val="008000"/>
                <w:w w:val="85"/>
              </w:rPr>
              <w:t>3.</w:t>
            </w:r>
          </w:p>
        </w:tc>
        <w:tc>
          <w:tcPr>
            <w:tcW w:w="3720" w:type="dxa"/>
            <w:vAlign w:val="bottom"/>
            <w:gridSpan w:val="4"/>
            <w:vMerge w:val="restart"/>
          </w:tcPr>
          <w:p>
            <w:pPr>
              <w:ind w:left="20"/>
              <w:spacing w:after="0"/>
              <w:rPr>
                <w:sz w:val="20"/>
                <w:szCs w:val="20"/>
                <w:color w:val="auto"/>
              </w:rPr>
            </w:pPr>
            <w:r>
              <w:rPr>
                <w:rFonts w:ascii="Arial" w:cs="Arial" w:eastAsia="Arial" w:hAnsi="Arial"/>
                <w:sz w:val="14"/>
                <w:szCs w:val="14"/>
                <w:color w:val="008000"/>
                <w:w w:val="86"/>
              </w:rPr>
              <w:t>Purchase prices range from $286.11 to $286.14 per share, inclusive.</w:t>
            </w:r>
          </w:p>
        </w:tc>
        <w:tc>
          <w:tcPr>
            <w:tcW w:w="820" w:type="dxa"/>
            <w:vAlign w:val="bottom"/>
          </w:tcPr>
          <w:p>
            <w:pPr>
              <w:spacing w:after="0"/>
              <w:rPr>
                <w:sz w:val="10"/>
                <w:szCs w:val="10"/>
                <w:color w:val="auto"/>
              </w:rPr>
            </w:pPr>
          </w:p>
        </w:tc>
        <w:tc>
          <w:tcPr>
            <w:tcW w:w="78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(Instr. 3, 4</w:t>
            </w:r>
          </w:p>
        </w:tc>
        <w:tc>
          <w:tcPr>
            <w:tcW w:w="1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0" w:type="dxa"/>
            <w:vAlign w:val="bottom"/>
            <w:vMerge w:val="continue"/>
          </w:tcPr>
          <w:p>
            <w:pPr>
              <w:spacing w:after="0"/>
              <w:rPr>
                <w:sz w:val="13"/>
                <w:szCs w:val="13"/>
                <w:color w:val="auto"/>
              </w:rPr>
            </w:pPr>
          </w:p>
        </w:tc>
        <w:tc>
          <w:tcPr>
            <w:tcW w:w="3720" w:type="dxa"/>
            <w:vAlign w:val="bottom"/>
            <w:gridSpan w:val="4"/>
            <w:vMerge w:val="continue"/>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40" w:right="140" w:firstLine="9"/>
        <w:spacing w:after="0" w:line="274" w:lineRule="auto"/>
        <w:tabs>
          <w:tab w:leader="none" w:pos="17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13,384,293 shares and 2,799,552</w:t>
      </w:r>
      <w:r>
        <w:rPr>
          <w:rFonts w:ascii="Arial" w:cs="Arial" w:eastAsia="Arial" w:hAnsi="Arial"/>
          <w:sz w:val="10"/>
          <w:szCs w:val="10"/>
          <w:b w:val="1"/>
          <w:bCs w:val="1"/>
          <w:color w:val="000000"/>
        </w:rPr>
        <w:t>Amount</w:t>
      </w:r>
      <w:r>
        <w:rPr>
          <w:rFonts w:ascii="Arial" w:cs="Arial" w:eastAsia="Arial" w:hAnsi="Arial"/>
          <w:sz w:val="11"/>
          <w:szCs w:val="11"/>
          <w:color w:val="008000"/>
        </w:rPr>
        <w:t xml:space="preserve"> shares, respectively. Pursuant to the Amended and Restated Investor Agreement, dated as of January 11, 2014, by and among Sanofi, SAAN, sanofi-aventis US LLC, Aventis (collectively, the "Sanofi </w:t>
      </w:r>
      <w:r>
        <w:rPr>
          <w:rFonts w:ascii="Arial" w:cs="Arial" w:eastAsia="Arial" w:hAnsi="Arial"/>
          <w:sz w:val="10"/>
          <w:szCs w:val="10"/>
          <w:b w:val="1"/>
          <w:bCs w:val="1"/>
          <w:color w:val="000000"/>
        </w:rPr>
        <w:t>or</w:t>
      </w:r>
      <w:r>
        <w:rPr>
          <w:rFonts w:ascii="Arial" w:cs="Arial" w:eastAsia="Arial" w:hAnsi="Arial"/>
          <w:sz w:val="11"/>
          <w:szCs w:val="11"/>
          <w:color w:val="008000"/>
        </w:rPr>
        <w:t>Parties") and the Issuer, the Sanofi Parties have agreed to vote their</w:t>
      </w:r>
    </w:p>
    <w:tbl>
      <w:tblPr>
        <w:tblLayout w:type="fixed"/>
        <w:tblInd w:w="40" w:type="dxa"/>
        <w:tblCellMar>
          <w:top w:w="0" w:type="dxa"/>
          <w:left w:w="0" w:type="dxa"/>
          <w:bottom w:w="0" w:type="dxa"/>
          <w:right w:w="0" w:type="dxa"/>
        </w:tblCellMar>
      </w:tblPr>
      <w:tr>
        <w:trPr>
          <w:trHeight w:val="139"/>
        </w:trPr>
        <w:tc>
          <w:tcPr>
            <w:tcW w:w="7480" w:type="dxa"/>
            <w:vAlign w:val="bottom"/>
            <w:gridSpan w:val="6"/>
          </w:tcPr>
          <w:p>
            <w:pPr>
              <w:spacing w:after="0" w:line="139" w:lineRule="exact"/>
              <w:rPr>
                <w:sz w:val="20"/>
                <w:szCs w:val="20"/>
                <w:color w:val="auto"/>
              </w:rPr>
            </w:pPr>
            <w:r>
              <w:rPr>
                <w:rFonts w:ascii="Arial" w:cs="Arial" w:eastAsia="Arial" w:hAnsi="Arial"/>
                <w:sz w:val="14"/>
                <w:szCs w:val="14"/>
                <w:color w:val="008000"/>
                <w:w w:val="87"/>
              </w:rPr>
              <w:t>respective shares of the Issuer, subject to specified exceptions, in accordance with the recommendation of the Issuers Board of Directors.</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w w:val="96"/>
              </w:rPr>
              <w:t>Number</w:t>
            </w:r>
          </w:p>
        </w:tc>
        <w:tc>
          <w:tcPr>
            <w:tcW w:w="0" w:type="dxa"/>
            <w:vAlign w:val="bottom"/>
          </w:tcPr>
          <w:p>
            <w:pPr>
              <w:spacing w:after="0"/>
              <w:rPr>
                <w:sz w:val="1"/>
                <w:szCs w:val="1"/>
                <w:color w:val="auto"/>
              </w:rPr>
            </w:pPr>
          </w:p>
        </w:tc>
      </w:tr>
      <w:tr>
        <w:trPr>
          <w:trHeight w:val="119"/>
        </w:trPr>
        <w:tc>
          <w:tcPr>
            <w:tcW w:w="4580" w:type="dxa"/>
            <w:vAlign w:val="bottom"/>
            <w:vMerge w:val="restart"/>
          </w:tcPr>
          <w:p>
            <w:pPr>
              <w:spacing w:after="0"/>
              <w:rPr>
                <w:sz w:val="20"/>
                <w:szCs w:val="20"/>
                <w:color w:val="auto"/>
              </w:rPr>
            </w:pPr>
            <w:r>
              <w:rPr>
                <w:rFonts w:ascii="Arial" w:cs="Arial" w:eastAsia="Arial" w:hAnsi="Arial"/>
                <w:sz w:val="14"/>
                <w:szCs w:val="14"/>
                <w:color w:val="008000"/>
                <w:w w:val="90"/>
              </w:rPr>
              <w:t xml:space="preserve">5. Purchase prices range from $287.32 to $288.23 per share, inclusive. </w:t>
            </w:r>
            <w:r>
              <w:rPr>
                <w:rFonts w:ascii="Arial" w:cs="Arial" w:eastAsia="Arial" w:hAnsi="Arial"/>
                <w:sz w:val="24"/>
                <w:szCs w:val="24"/>
                <w:b w:val="1"/>
                <w:bCs w:val="1"/>
                <w:color w:val="000000"/>
                <w:w w:val="90"/>
                <w:vertAlign w:val="subscript"/>
              </w:rPr>
              <w:t>Code  V</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ind w:left="120"/>
              <w:spacing w:after="0" w:line="12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0"/>
                <w:szCs w:val="10"/>
                <w:color w:val="auto"/>
              </w:rPr>
            </w:pPr>
          </w:p>
        </w:tc>
        <w:tc>
          <w:tcPr>
            <w:tcW w:w="52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66"/>
        </w:trPr>
        <w:tc>
          <w:tcPr>
            <w:tcW w:w="4580" w:type="dxa"/>
            <w:vAlign w:val="bottom"/>
            <w:vMerge w:val="continue"/>
          </w:tcPr>
          <w:p>
            <w:pPr>
              <w:spacing w:after="0"/>
              <w:rPr>
                <w:sz w:val="14"/>
                <w:szCs w:val="14"/>
                <w:color w:val="auto"/>
              </w:rPr>
            </w:pP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008000"/>
        </w:rPr>
        <w:t>6. Purchase prices range from $288.49 to $289.32 per share, inclusive.</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7. Purchase prices range from $289.49 to $290.00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8. Purchase prices range from $278.58 to $279.51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9. Purchase prices range from $279.58 to $280.57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10. Purchase prices range from $280.59 to $281.58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11. Purchase prices range from $281.59 to $282.58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12. Purchase prices range from $282.60 to $283.57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13. Purchase prices range from $283.60 to $284.59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14. Purchase prices range from $284.60 to $285.59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15. Purchase prices range from $285.60 to $286.49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16. Purchase prices range from $286.74 to $287.73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17. Purchase prices range from $287.90 to $288.70 per share, inclusive.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18. Purchase prices range from $289.29 to $289.93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02/04/2014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2019-12-17T05:53:15Z</dcterms:created>
  <dcterms:modified xsi:type="dcterms:W3CDTF">2019-12-17T05:53:15Z</dcterms:modified>
</cp:coreProperties>
</file>